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3AA0" w:rsidRPr="00A527CD" w:rsidRDefault="00F94139" w:rsidP="0020485E">
      <w:pPr>
        <w:rPr>
          <w:color w:val="FF0000"/>
          <w:sz w:val="24"/>
        </w:rPr>
      </w:pPr>
      <w:r w:rsidRPr="00A527CD">
        <w:rPr>
          <w:color w:val="FF0000"/>
          <w:sz w:val="24"/>
        </w:rPr>
        <w:t xml:space="preserve">International Federation of Red Cross and Red Crescent Societies </w:t>
      </w:r>
    </w:p>
    <w:p w:rsidR="007F3AA0" w:rsidRPr="0020485E" w:rsidRDefault="00FB4F3F" w:rsidP="0020485E">
      <w:pPr>
        <w:pStyle w:val="Listbulleted1"/>
        <w:numPr>
          <w:ilvl w:val="0"/>
          <w:numId w:val="0"/>
        </w:numPr>
        <w:spacing w:before="240" w:after="120"/>
        <w:rPr>
          <w:rStyle w:val="Hyperlink"/>
          <w:rFonts w:ascii="Arial Bold" w:hAnsi="Arial Bold"/>
          <w:color w:val="auto"/>
          <w:sz w:val="52"/>
          <w:u w:val="none"/>
        </w:rPr>
      </w:pPr>
      <w:r>
        <w:rPr>
          <w:rFonts w:ascii="Arial Bold" w:hAnsi="Arial Bold"/>
          <w:sz w:val="52"/>
        </w:rPr>
        <w:t>IFRC c</w:t>
      </w:r>
      <w:r w:rsidR="007F3AA0" w:rsidRPr="007F3AA0">
        <w:rPr>
          <w:rFonts w:ascii="Arial Bold" w:hAnsi="Arial Bold"/>
          <w:sz w:val="52"/>
        </w:rPr>
        <w:t xml:space="preserve">ontributions to the AADMER work </w:t>
      </w:r>
      <w:proofErr w:type="spellStart"/>
      <w:r w:rsidR="007F3AA0" w:rsidRPr="007F3AA0">
        <w:rPr>
          <w:rFonts w:ascii="Arial Bold" w:hAnsi="Arial Bold"/>
          <w:sz w:val="52"/>
        </w:rPr>
        <w:t>programme</w:t>
      </w:r>
      <w:proofErr w:type="spellEnd"/>
      <w:r w:rsidR="007F3AA0" w:rsidRPr="007F3AA0">
        <w:rPr>
          <w:rFonts w:ascii="Arial Bold" w:hAnsi="Arial Bold"/>
          <w:sz w:val="52"/>
        </w:rPr>
        <w:t xml:space="preserve"> 2016</w:t>
      </w:r>
      <w:r w:rsidR="00943328" w:rsidRPr="00943328">
        <w:rPr>
          <w:rFonts w:ascii="Arial Bold" w:hAnsi="Arial Bold"/>
          <w:sz w:val="52"/>
        </w:rPr>
        <w:t>–</w:t>
      </w:r>
      <w:r w:rsidR="007F3AA0" w:rsidRPr="007F3AA0">
        <w:rPr>
          <w:rFonts w:ascii="Arial Bold" w:hAnsi="Arial Bold"/>
          <w:sz w:val="52"/>
        </w:rPr>
        <w:t xml:space="preserve">2020 </w:t>
      </w:r>
    </w:p>
    <w:p w:rsidR="007A5AF3" w:rsidRPr="00E77457" w:rsidRDefault="00471925" w:rsidP="0020485E">
      <w:pPr>
        <w:pStyle w:val="Listbulleted1"/>
        <w:numPr>
          <w:ilvl w:val="0"/>
          <w:numId w:val="0"/>
        </w:numPr>
        <w:rPr>
          <w:rStyle w:val="Hyperlink"/>
          <w:rFonts w:cs="Arial"/>
          <w:b/>
          <w:color w:val="808080" w:themeColor="background1" w:themeShade="80"/>
          <w:u w:val="none"/>
        </w:rPr>
      </w:pPr>
      <w:r w:rsidRPr="00E77457">
        <w:rPr>
          <w:rStyle w:val="Hyperlink"/>
          <w:rFonts w:cs="Arial"/>
          <w:b/>
          <w:color w:val="FF0000"/>
          <w:u w:val="none"/>
        </w:rPr>
        <w:t xml:space="preserve">Country Cluster Support Team </w:t>
      </w:r>
      <w:r w:rsidRPr="00E77457">
        <w:rPr>
          <w:rStyle w:val="Hyperlink"/>
          <w:rFonts w:cs="Arial"/>
          <w:b/>
          <w:color w:val="auto"/>
          <w:u w:val="none"/>
        </w:rPr>
        <w:t xml:space="preserve">/ </w:t>
      </w:r>
      <w:r w:rsidRPr="00E77457">
        <w:rPr>
          <w:rStyle w:val="Hyperlink"/>
          <w:rFonts w:cs="Arial"/>
          <w:b/>
          <w:color w:val="808080" w:themeColor="background1" w:themeShade="80"/>
          <w:u w:val="none"/>
        </w:rPr>
        <w:t xml:space="preserve">September 2016  </w:t>
      </w:r>
    </w:p>
    <w:p w:rsidR="0020485E" w:rsidRDefault="0020485E" w:rsidP="0020485E">
      <w:pPr>
        <w:pStyle w:val="Listbulleted1"/>
        <w:numPr>
          <w:ilvl w:val="0"/>
          <w:numId w:val="0"/>
        </w:numPr>
        <w:rPr>
          <w:rStyle w:val="Hyperlink"/>
          <w:rFonts w:ascii="Arial Rounded MT Bold" w:hAnsi="Arial Rounded MT Bold"/>
          <w:color w:val="808080" w:themeColor="background1" w:themeShade="80"/>
          <w:u w:val="none"/>
        </w:rPr>
      </w:pPr>
    </w:p>
    <w:p w:rsidR="008E6919" w:rsidRDefault="008E6919" w:rsidP="005E5D8E">
      <w:pPr>
        <w:autoSpaceDE w:val="0"/>
        <w:autoSpaceDN w:val="0"/>
        <w:adjustRightInd w:val="0"/>
        <w:spacing w:before="0" w:after="120" w:line="276" w:lineRule="auto"/>
        <w:rPr>
          <w:rFonts w:asciiTheme="majorHAnsi" w:hAnsiTheme="majorHAnsi" w:cs="TimesNewRomanPS-BoldMT"/>
          <w:bCs/>
          <w:i/>
          <w:szCs w:val="22"/>
          <w:lang w:val="en-GB"/>
        </w:rPr>
      </w:pPr>
      <w:r w:rsidRPr="00FD5CA6">
        <w:rPr>
          <w:rFonts w:asciiTheme="majorHAnsi" w:hAnsiTheme="majorHAnsi" w:cs="TimesNewRomanPS-BoldMT"/>
          <w:bCs/>
          <w:i/>
          <w:szCs w:val="22"/>
          <w:lang w:val="en-GB"/>
        </w:rPr>
        <w:t>The International Federation of Red Cross and Red Crescent Societies (IFRC) shares the present update on its contributions to date towards the ASEAN Agreement on Disaster Management and Emergency Response (AADMER) Work Programme for the years 2016</w:t>
      </w:r>
      <w:r w:rsidR="00943328" w:rsidRPr="00943328">
        <w:rPr>
          <w:rFonts w:asciiTheme="majorHAnsi" w:hAnsiTheme="majorHAnsi" w:cs="TimesNewRomanPS-BoldMT"/>
          <w:bCs/>
          <w:i/>
          <w:szCs w:val="22"/>
        </w:rPr>
        <w:t>–</w:t>
      </w:r>
      <w:r w:rsidRPr="00FD5CA6">
        <w:rPr>
          <w:rFonts w:asciiTheme="majorHAnsi" w:hAnsiTheme="majorHAnsi" w:cs="TimesNewRomanPS-BoldMT"/>
          <w:bCs/>
          <w:i/>
          <w:szCs w:val="22"/>
          <w:lang w:val="en-GB"/>
        </w:rPr>
        <w:t xml:space="preserve">2020. </w:t>
      </w:r>
      <w:r w:rsidRPr="00C61DF1">
        <w:rPr>
          <w:rFonts w:asciiTheme="majorHAnsi" w:hAnsiTheme="majorHAnsi" w:cs="TimesNewRomanPS-BoldMT"/>
          <w:bCs/>
          <w:i/>
          <w:szCs w:val="22"/>
          <w:lang w:val="en-GB"/>
        </w:rPr>
        <w:t xml:space="preserve">The IFRC remains committed to develop a </w:t>
      </w:r>
      <w:r w:rsidRPr="00C61DF1">
        <w:rPr>
          <w:rFonts w:asciiTheme="majorHAnsi" w:hAnsiTheme="majorHAnsi" w:cs="TimesNewRomanPS-BoldMT"/>
          <w:bCs/>
          <w:i/>
          <w:szCs w:val="22"/>
          <w:u w:val="single"/>
          <w:lang w:val="en-GB"/>
        </w:rPr>
        <w:t>specific plan together with ASEAN to detail its future commitments towards the AADMER Work Programme</w:t>
      </w:r>
      <w:r w:rsidRPr="00C61DF1">
        <w:rPr>
          <w:rFonts w:asciiTheme="majorHAnsi" w:hAnsiTheme="majorHAnsi" w:cs="TimesNewRomanPS-BoldMT"/>
          <w:bCs/>
          <w:i/>
          <w:szCs w:val="22"/>
          <w:lang w:val="en-GB"/>
        </w:rPr>
        <w:t>.</w:t>
      </w:r>
      <w:r w:rsidRPr="00FD5CA6">
        <w:rPr>
          <w:rFonts w:asciiTheme="majorHAnsi" w:hAnsiTheme="majorHAnsi" w:cs="TimesNewRomanPS-BoldMT"/>
          <w:bCs/>
          <w:i/>
          <w:szCs w:val="22"/>
          <w:lang w:val="en-GB"/>
        </w:rPr>
        <w:t xml:space="preserve"> </w:t>
      </w:r>
    </w:p>
    <w:p w:rsidR="008E6919" w:rsidRPr="008E6919" w:rsidRDefault="008E6919" w:rsidP="005E5D8E">
      <w:pPr>
        <w:autoSpaceDE w:val="0"/>
        <w:autoSpaceDN w:val="0"/>
        <w:adjustRightInd w:val="0"/>
        <w:spacing w:before="0" w:after="120" w:line="276" w:lineRule="auto"/>
        <w:rPr>
          <w:rFonts w:asciiTheme="majorHAnsi" w:hAnsiTheme="majorHAnsi" w:cs="TimesNewRomanPS-BoldMT"/>
          <w:bCs/>
          <w:i/>
          <w:szCs w:val="22"/>
          <w:lang w:val="en-GB"/>
        </w:rPr>
      </w:pPr>
      <w:r w:rsidRPr="00267E18">
        <w:rPr>
          <w:rFonts w:asciiTheme="majorHAnsi" w:hAnsiTheme="majorHAnsi" w:cs="TimesNewRomanPS-BoldMT"/>
          <w:bCs/>
          <w:i/>
          <w:szCs w:val="22"/>
        </w:rPr>
        <w:t xml:space="preserve">The IFRC has designated a Representative to ASEAN to strengthen its coordination with ASEAN Secretariat and its specialized centers, as well as with the Embassies accredited to and partners cooperating with ASEAN. The Representative is based in Jakarta, Indonesia. </w:t>
      </w:r>
    </w:p>
    <w:p w:rsidR="008E6919" w:rsidRDefault="008E6919" w:rsidP="005E5D8E">
      <w:pPr>
        <w:autoSpaceDE w:val="0"/>
        <w:autoSpaceDN w:val="0"/>
        <w:adjustRightInd w:val="0"/>
        <w:spacing w:before="0" w:after="120" w:line="276" w:lineRule="auto"/>
        <w:rPr>
          <w:rFonts w:asciiTheme="majorHAnsi" w:hAnsiTheme="majorHAnsi" w:cs="TimesNewRomanPS-BoldMT"/>
          <w:b/>
          <w:bCs/>
          <w:i/>
          <w:szCs w:val="22"/>
          <w:lang w:val="en-GB"/>
        </w:rPr>
      </w:pPr>
      <w:r w:rsidRPr="00267E18">
        <w:rPr>
          <w:rFonts w:asciiTheme="majorHAnsi" w:hAnsiTheme="majorHAnsi" w:cs="TimesNewRomanPS-BoldMT"/>
          <w:bCs/>
          <w:i/>
          <w:szCs w:val="22"/>
        </w:rPr>
        <w:t xml:space="preserve">With the objective of strengthening and formalizing coordination between both organizations, IFRC and ASEAN have developed a Cooperation Framework. The framework, whose draft is currently being revised, is expected to be signed during Q3 of 2016. </w:t>
      </w:r>
    </w:p>
    <w:p w:rsidR="007F3AA0" w:rsidRPr="008E6919" w:rsidRDefault="008E6919" w:rsidP="005E5D8E">
      <w:pPr>
        <w:autoSpaceDE w:val="0"/>
        <w:autoSpaceDN w:val="0"/>
        <w:adjustRightInd w:val="0"/>
        <w:spacing w:before="0" w:after="120" w:line="276" w:lineRule="auto"/>
        <w:rPr>
          <w:rStyle w:val="Hyperlink"/>
          <w:rFonts w:asciiTheme="majorHAnsi" w:hAnsiTheme="majorHAnsi" w:cs="TimesNewRomanPS-BoldMT"/>
          <w:b/>
          <w:bCs/>
          <w:i/>
          <w:color w:val="auto"/>
          <w:szCs w:val="22"/>
          <w:u w:val="none"/>
          <w:lang w:val="en-GB"/>
        </w:rPr>
      </w:pPr>
      <w:r>
        <w:rPr>
          <w:rFonts w:asciiTheme="majorHAnsi" w:hAnsiTheme="majorHAnsi" w:cs="TimesNewRomanPS-BoldMT"/>
          <w:bCs/>
          <w:i/>
          <w:szCs w:val="22"/>
          <w:lang w:val="en-GB"/>
        </w:rPr>
        <w:t>The contributions follow the 8 priority programmes detailed in the</w:t>
      </w:r>
      <w:r w:rsidR="00943328">
        <w:rPr>
          <w:rFonts w:asciiTheme="majorHAnsi" w:hAnsiTheme="majorHAnsi" w:cs="TimesNewRomanPS-BoldMT"/>
          <w:bCs/>
          <w:i/>
          <w:szCs w:val="22"/>
          <w:lang w:val="en-GB"/>
        </w:rPr>
        <w:t xml:space="preserve"> </w:t>
      </w:r>
      <w:proofErr w:type="gramStart"/>
      <w:r w:rsidR="00943328">
        <w:rPr>
          <w:rFonts w:asciiTheme="majorHAnsi" w:hAnsiTheme="majorHAnsi" w:cs="TimesNewRomanPS-BoldMT"/>
          <w:bCs/>
          <w:i/>
          <w:szCs w:val="22"/>
          <w:lang w:val="en-GB"/>
        </w:rPr>
        <w:t xml:space="preserve">AADMER </w:t>
      </w:r>
      <w:r>
        <w:rPr>
          <w:rFonts w:asciiTheme="majorHAnsi" w:hAnsiTheme="majorHAnsi" w:cs="TimesNewRomanPS-BoldMT"/>
          <w:bCs/>
          <w:i/>
          <w:szCs w:val="22"/>
          <w:lang w:val="en-GB"/>
        </w:rPr>
        <w:t xml:space="preserve"> work</w:t>
      </w:r>
      <w:proofErr w:type="gramEnd"/>
      <w:r>
        <w:rPr>
          <w:rFonts w:asciiTheme="majorHAnsi" w:hAnsiTheme="majorHAnsi" w:cs="TimesNewRomanPS-BoldMT"/>
          <w:bCs/>
          <w:i/>
          <w:szCs w:val="22"/>
          <w:lang w:val="en-GB"/>
        </w:rPr>
        <w:t xml:space="preserve"> programme</w:t>
      </w:r>
      <w:r w:rsidR="00943328">
        <w:rPr>
          <w:rFonts w:asciiTheme="majorHAnsi" w:hAnsiTheme="majorHAnsi" w:cs="TimesNewRomanPS-BoldMT"/>
          <w:bCs/>
          <w:i/>
          <w:szCs w:val="22"/>
          <w:lang w:val="en-GB"/>
        </w:rPr>
        <w:t xml:space="preserve"> 2016</w:t>
      </w:r>
      <w:r w:rsidR="00943328" w:rsidRPr="00943328">
        <w:rPr>
          <w:rFonts w:asciiTheme="majorHAnsi" w:hAnsiTheme="majorHAnsi" w:cs="TimesNewRomanPS-BoldMT"/>
          <w:bCs/>
          <w:i/>
          <w:szCs w:val="22"/>
        </w:rPr>
        <w:t>–</w:t>
      </w:r>
      <w:r w:rsidR="00943328">
        <w:rPr>
          <w:rFonts w:asciiTheme="majorHAnsi" w:hAnsiTheme="majorHAnsi" w:cs="TimesNewRomanPS-BoldMT"/>
          <w:bCs/>
          <w:i/>
          <w:szCs w:val="22"/>
          <w:lang w:val="en-GB"/>
        </w:rPr>
        <w:t>2020</w:t>
      </w:r>
      <w:r>
        <w:rPr>
          <w:rFonts w:asciiTheme="majorHAnsi" w:hAnsiTheme="majorHAnsi" w:cs="TimesNewRomanPS-BoldMT"/>
          <w:bCs/>
          <w:i/>
          <w:szCs w:val="22"/>
          <w:lang w:val="en-GB"/>
        </w:rPr>
        <w:t xml:space="preserve">. </w:t>
      </w:r>
    </w:p>
    <w:p w:rsidR="007F3AA0" w:rsidRPr="008E6919" w:rsidRDefault="007F3AA0" w:rsidP="00943328">
      <w:pPr>
        <w:pStyle w:val="Heading1"/>
      </w:pPr>
      <w:r w:rsidRPr="008E6919">
        <w:t>1. AWARE: Risk Aware ASEAN Community</w:t>
      </w:r>
    </w:p>
    <w:p w:rsidR="007F3AA0" w:rsidRPr="0020485E" w:rsidRDefault="007F3AA0" w:rsidP="000F4B5C">
      <w:pPr>
        <w:pStyle w:val="ListParagraph"/>
        <w:numPr>
          <w:ilvl w:val="0"/>
          <w:numId w:val="10"/>
        </w:numPr>
        <w:spacing w:before="0" w:line="276" w:lineRule="auto"/>
        <w:ind w:left="714" w:hanging="357"/>
        <w:rPr>
          <w:rFonts w:asciiTheme="majorHAnsi" w:hAnsiTheme="majorHAnsi"/>
        </w:rPr>
      </w:pPr>
      <w:r w:rsidRPr="0020485E">
        <w:rPr>
          <w:rFonts w:asciiTheme="majorHAnsi" w:hAnsiTheme="majorHAnsi"/>
        </w:rPr>
        <w:t>Several National Societies across ASEAN have conducted Vulnerability and Capacity Assessments (VCA) at community level and have pools of trained facilitators.</w:t>
      </w:r>
    </w:p>
    <w:p w:rsidR="007F3AA0" w:rsidRPr="0020485E" w:rsidRDefault="007F3AA0" w:rsidP="000F4B5C">
      <w:pPr>
        <w:pStyle w:val="ListParagraph"/>
        <w:numPr>
          <w:ilvl w:val="0"/>
          <w:numId w:val="10"/>
        </w:numPr>
        <w:spacing w:before="0" w:line="276" w:lineRule="auto"/>
        <w:ind w:left="714" w:hanging="357"/>
        <w:rPr>
          <w:rFonts w:asciiTheme="majorHAnsi" w:hAnsiTheme="majorHAnsi"/>
        </w:rPr>
      </w:pPr>
      <w:r w:rsidRPr="0020485E">
        <w:rPr>
          <w:rFonts w:asciiTheme="majorHAnsi" w:hAnsiTheme="majorHAnsi"/>
        </w:rPr>
        <w:t xml:space="preserve">There is </w:t>
      </w:r>
      <w:r w:rsidR="00C61DF1">
        <w:rPr>
          <w:rFonts w:asciiTheme="majorHAnsi" w:hAnsiTheme="majorHAnsi"/>
        </w:rPr>
        <w:t xml:space="preserve">an </w:t>
      </w:r>
      <w:r w:rsidRPr="0020485E">
        <w:rPr>
          <w:rFonts w:asciiTheme="majorHAnsi" w:hAnsiTheme="majorHAnsi"/>
        </w:rPr>
        <w:t xml:space="preserve">ongoing sharing of information on response operations between AHA Centre and the IFRC System. </w:t>
      </w:r>
    </w:p>
    <w:p w:rsidR="007F3AA0" w:rsidRPr="0020485E" w:rsidRDefault="007F3AA0" w:rsidP="000F4B5C">
      <w:pPr>
        <w:pStyle w:val="ListParagraph"/>
        <w:numPr>
          <w:ilvl w:val="0"/>
          <w:numId w:val="10"/>
        </w:numPr>
        <w:spacing w:before="0" w:line="276" w:lineRule="auto"/>
        <w:ind w:left="714" w:hanging="357"/>
        <w:rPr>
          <w:rFonts w:asciiTheme="majorHAnsi" w:hAnsiTheme="majorHAnsi"/>
        </w:rPr>
      </w:pPr>
      <w:r w:rsidRPr="0020485E">
        <w:rPr>
          <w:rFonts w:asciiTheme="majorHAnsi" w:hAnsiTheme="majorHAnsi"/>
        </w:rPr>
        <w:t xml:space="preserve">The IFRC is strengthening its capacity in climate change in close collaboration with the Red Cross Red Crescent Climate Centre: a person will be deployed in Indonesia, adding to the person of the RCCC based in the Philippines.  </w:t>
      </w:r>
    </w:p>
    <w:p w:rsidR="007F3AA0" w:rsidRPr="0020485E" w:rsidRDefault="007F3AA0" w:rsidP="000F4B5C">
      <w:pPr>
        <w:pStyle w:val="ListParagraph"/>
        <w:numPr>
          <w:ilvl w:val="0"/>
          <w:numId w:val="10"/>
        </w:numPr>
        <w:spacing w:before="0" w:line="276" w:lineRule="auto"/>
        <w:ind w:left="714" w:hanging="357"/>
        <w:rPr>
          <w:rFonts w:asciiTheme="majorHAnsi" w:hAnsiTheme="majorHAnsi"/>
        </w:rPr>
      </w:pPr>
      <w:r w:rsidRPr="0020485E">
        <w:rPr>
          <w:rFonts w:asciiTheme="majorHAnsi" w:hAnsiTheme="majorHAnsi"/>
        </w:rPr>
        <w:t xml:space="preserve">IFRC is establishing its Emergency Operations Centre for Asia Pacific in 2016 in Kuala Lumpur, Malaysia. The EOC will exchange information with the AHA Centre. </w:t>
      </w:r>
    </w:p>
    <w:p w:rsidR="007F3AA0" w:rsidRPr="0020485E" w:rsidRDefault="007F3AA0" w:rsidP="000F4B5C">
      <w:pPr>
        <w:pStyle w:val="ListParagraph"/>
        <w:numPr>
          <w:ilvl w:val="0"/>
          <w:numId w:val="10"/>
        </w:numPr>
        <w:spacing w:before="0" w:line="276" w:lineRule="auto"/>
        <w:ind w:left="714" w:hanging="357"/>
        <w:rPr>
          <w:rFonts w:asciiTheme="majorHAnsi" w:hAnsiTheme="majorHAnsi"/>
        </w:rPr>
      </w:pPr>
      <w:r w:rsidRPr="0020485E">
        <w:rPr>
          <w:rFonts w:asciiTheme="majorHAnsi" w:hAnsiTheme="majorHAnsi"/>
        </w:rPr>
        <w:t xml:space="preserve">The IFRC and RC National Societies has been working very closely with NDMOs in countries exposed to the el Nino phenomenon to early identify the risks and possible mitigation actions. </w:t>
      </w:r>
    </w:p>
    <w:p w:rsidR="008E6919" w:rsidRPr="008E6919" w:rsidRDefault="007F3AA0" w:rsidP="00943328">
      <w:pPr>
        <w:pStyle w:val="Heading1"/>
      </w:pPr>
      <w:r w:rsidRPr="008E6919">
        <w:t>2. BUILD SAFELY: Building Safe ASEAN Infrastructures and Essential Services</w:t>
      </w:r>
    </w:p>
    <w:p w:rsidR="007F3AA0" w:rsidRPr="008E6919" w:rsidRDefault="007F3AA0" w:rsidP="00E1779B">
      <w:pPr>
        <w:rPr>
          <w:rFonts w:asciiTheme="majorHAnsi" w:hAnsiTheme="majorHAnsi" w:cs="Arial"/>
          <w:b/>
          <w:bCs/>
          <w:sz w:val="24"/>
          <w:lang w:val="en-GB"/>
        </w:rPr>
      </w:pPr>
      <w:r w:rsidRPr="008E6919">
        <w:rPr>
          <w:rFonts w:asciiTheme="majorHAnsi" w:hAnsiTheme="majorHAnsi" w:cs="Arial"/>
          <w:b/>
          <w:bCs/>
          <w:sz w:val="24"/>
          <w:lang w:val="en-GB"/>
        </w:rPr>
        <w:t>ASEAN Safe Schools Initiative (ASSI)</w:t>
      </w:r>
    </w:p>
    <w:p w:rsidR="007F3AA0" w:rsidRPr="0020485E" w:rsidRDefault="007F3AA0" w:rsidP="000F4B5C">
      <w:pPr>
        <w:pStyle w:val="ListParagraph"/>
        <w:numPr>
          <w:ilvl w:val="0"/>
          <w:numId w:val="11"/>
        </w:numPr>
        <w:spacing w:line="276" w:lineRule="auto"/>
        <w:ind w:left="714" w:hanging="357"/>
        <w:rPr>
          <w:rFonts w:asciiTheme="majorHAnsi" w:hAnsiTheme="majorHAnsi"/>
        </w:rPr>
      </w:pPr>
      <w:r w:rsidRPr="0020485E">
        <w:rPr>
          <w:rFonts w:asciiTheme="majorHAnsi" w:hAnsiTheme="majorHAnsi"/>
        </w:rPr>
        <w:t>Both IFRC and National Societies are cooperating actively with the ASEAN Safe School Initiative (ASSI), taking part in consultative processes led by ASEAN Member States and interacting with key technical partners under the Asia-Pacific Coalition for School Safety (APCSS)</w:t>
      </w:r>
      <w:r w:rsidR="00A527CD">
        <w:rPr>
          <w:rFonts w:asciiTheme="majorHAnsi" w:hAnsiTheme="majorHAnsi"/>
        </w:rPr>
        <w:t>.</w:t>
      </w:r>
    </w:p>
    <w:p w:rsidR="007F3AA0" w:rsidRPr="0020485E" w:rsidRDefault="007F3AA0" w:rsidP="000F4B5C">
      <w:pPr>
        <w:pStyle w:val="ListParagraph"/>
        <w:numPr>
          <w:ilvl w:val="0"/>
          <w:numId w:val="11"/>
        </w:numPr>
        <w:spacing w:line="276" w:lineRule="auto"/>
        <w:ind w:left="714" w:hanging="357"/>
        <w:rPr>
          <w:rFonts w:asciiTheme="majorHAnsi" w:hAnsiTheme="majorHAnsi"/>
        </w:rPr>
      </w:pPr>
      <w:r w:rsidRPr="0020485E">
        <w:rPr>
          <w:rFonts w:asciiTheme="majorHAnsi" w:hAnsiTheme="majorHAnsi"/>
        </w:rPr>
        <w:t xml:space="preserve">Red Cross Red Crescent </w:t>
      </w:r>
      <w:hyperlink r:id="rId8" w:history="1">
        <w:r w:rsidRPr="0020485E">
          <w:rPr>
            <w:rStyle w:val="Hyperlink"/>
            <w:rFonts w:asciiTheme="majorHAnsi" w:hAnsiTheme="majorHAnsi"/>
          </w:rPr>
          <w:t>engagement with ASSI</w:t>
        </w:r>
      </w:hyperlink>
      <w:r w:rsidRPr="0020485E">
        <w:rPr>
          <w:rFonts w:asciiTheme="majorHAnsi" w:hAnsiTheme="majorHAnsi"/>
        </w:rPr>
        <w:t xml:space="preserve"> : the 10 National Societies in ASEAN conduct activities in schools, in parti</w:t>
      </w:r>
      <w:r w:rsidR="00C61DF1">
        <w:rPr>
          <w:rFonts w:asciiTheme="majorHAnsi" w:hAnsiTheme="majorHAnsi"/>
        </w:rPr>
        <w:t>cular through their network of one</w:t>
      </w:r>
      <w:r w:rsidRPr="0020485E">
        <w:rPr>
          <w:rFonts w:asciiTheme="majorHAnsi" w:hAnsiTheme="majorHAnsi"/>
        </w:rPr>
        <w:t xml:space="preserve"> mil</w:t>
      </w:r>
      <w:r w:rsidR="00C61DF1">
        <w:rPr>
          <w:rFonts w:asciiTheme="majorHAnsi" w:hAnsiTheme="majorHAnsi"/>
        </w:rPr>
        <w:t>lion registered volunteers and four</w:t>
      </w:r>
      <w:r w:rsidRPr="0020485E">
        <w:rPr>
          <w:rFonts w:asciiTheme="majorHAnsi" w:hAnsiTheme="majorHAnsi"/>
        </w:rPr>
        <w:t xml:space="preserve"> million active youth members. </w:t>
      </w:r>
    </w:p>
    <w:p w:rsidR="007F3AA0" w:rsidRPr="0020485E" w:rsidRDefault="007F3AA0" w:rsidP="000F4B5C">
      <w:pPr>
        <w:pStyle w:val="ListParagraph"/>
        <w:numPr>
          <w:ilvl w:val="0"/>
          <w:numId w:val="11"/>
        </w:numPr>
        <w:spacing w:line="276" w:lineRule="auto"/>
        <w:ind w:left="714" w:hanging="357"/>
        <w:rPr>
          <w:rFonts w:asciiTheme="majorHAnsi" w:hAnsiTheme="majorHAnsi"/>
        </w:rPr>
      </w:pPr>
      <w:r w:rsidRPr="0020485E">
        <w:rPr>
          <w:rFonts w:asciiTheme="majorHAnsi" w:hAnsiTheme="majorHAnsi"/>
        </w:rPr>
        <w:lastRenderedPageBreak/>
        <w:t>Ther</w:t>
      </w:r>
      <w:r w:rsidR="00C61DF1">
        <w:rPr>
          <w:rFonts w:asciiTheme="majorHAnsi" w:hAnsiTheme="majorHAnsi"/>
        </w:rPr>
        <w:t>e is potential for scaling up</w:t>
      </w:r>
      <w:r w:rsidRPr="0020485E">
        <w:rPr>
          <w:rFonts w:asciiTheme="majorHAnsi" w:hAnsiTheme="majorHAnsi"/>
        </w:rPr>
        <w:t xml:space="preserve"> ASSI through the inclusion of School Safety in school curriculum. In addition, the future inclusion of Red Cross training in First Aid in school curricula could be a life- saving initiative</w:t>
      </w:r>
      <w:r w:rsidR="0014656F">
        <w:rPr>
          <w:rStyle w:val="EndnoteReference"/>
          <w:rFonts w:asciiTheme="majorHAnsi" w:hAnsiTheme="majorHAnsi"/>
        </w:rPr>
        <w:endnoteReference w:id="1"/>
      </w:r>
      <w:r w:rsidR="0014656F">
        <w:rPr>
          <w:rFonts w:asciiTheme="majorHAnsi" w:hAnsiTheme="majorHAnsi"/>
        </w:rPr>
        <w:t xml:space="preserve"> </w:t>
      </w:r>
      <w:r w:rsidRPr="0020485E">
        <w:rPr>
          <w:rFonts w:asciiTheme="majorHAnsi" w:hAnsiTheme="majorHAnsi"/>
        </w:rPr>
        <w:t xml:space="preserve">thus contributing to the </w:t>
      </w:r>
      <w:hyperlink r:id="rId9" w:history="1">
        <w:r w:rsidRPr="0020485E">
          <w:rPr>
            <w:rStyle w:val="Hyperlink"/>
            <w:rFonts w:asciiTheme="majorHAnsi" w:hAnsiTheme="majorHAnsi"/>
          </w:rPr>
          <w:t>One Billion Coalition for Resilience</w:t>
        </w:r>
      </w:hyperlink>
      <w:r w:rsidRPr="0020485E">
        <w:rPr>
          <w:rFonts w:asciiTheme="majorHAnsi" w:hAnsiTheme="majorHAnsi"/>
        </w:rPr>
        <w:t>.</w:t>
      </w:r>
    </w:p>
    <w:p w:rsidR="007F3AA0" w:rsidRPr="008E6919" w:rsidRDefault="007F3AA0" w:rsidP="0020485E">
      <w:pPr>
        <w:spacing w:after="120"/>
        <w:rPr>
          <w:rFonts w:asciiTheme="majorHAnsi" w:hAnsiTheme="majorHAnsi" w:cs="Arial"/>
          <w:b/>
          <w:bCs/>
          <w:sz w:val="24"/>
        </w:rPr>
      </w:pPr>
      <w:r w:rsidRPr="008E6919">
        <w:rPr>
          <w:rFonts w:asciiTheme="majorHAnsi" w:hAnsiTheme="majorHAnsi" w:cs="Arial"/>
          <w:b/>
          <w:bCs/>
          <w:sz w:val="24"/>
        </w:rPr>
        <w:t>Urban resilience</w:t>
      </w:r>
      <w:bookmarkStart w:id="0" w:name="_GoBack"/>
      <w:bookmarkEnd w:id="0"/>
    </w:p>
    <w:p w:rsidR="007F3AA0" w:rsidRPr="0020485E" w:rsidRDefault="007F3AA0" w:rsidP="000F4B5C">
      <w:pPr>
        <w:pStyle w:val="ListParagraph"/>
        <w:numPr>
          <w:ilvl w:val="0"/>
          <w:numId w:val="12"/>
        </w:numPr>
        <w:spacing w:before="0" w:line="276" w:lineRule="auto"/>
        <w:ind w:left="714" w:hanging="357"/>
        <w:rPr>
          <w:rFonts w:asciiTheme="majorHAnsi" w:hAnsiTheme="majorHAnsi"/>
        </w:rPr>
      </w:pPr>
      <w:r w:rsidRPr="0020485E">
        <w:rPr>
          <w:rFonts w:asciiTheme="majorHAnsi" w:hAnsiTheme="majorHAnsi"/>
        </w:rPr>
        <w:t xml:space="preserve">National Societies are implementing innovative projects in cities in Cambodia, Indonesia, Lao PDR, Myanmar, Philippines, Vietnam. </w:t>
      </w:r>
    </w:p>
    <w:p w:rsidR="008E6919" w:rsidRPr="0020485E" w:rsidRDefault="007F3AA0" w:rsidP="000F4B5C">
      <w:pPr>
        <w:pStyle w:val="ListParagraph"/>
        <w:numPr>
          <w:ilvl w:val="0"/>
          <w:numId w:val="12"/>
        </w:numPr>
        <w:spacing w:before="0" w:line="276" w:lineRule="auto"/>
        <w:ind w:left="714" w:hanging="357"/>
        <w:rPr>
          <w:rFonts w:asciiTheme="majorHAnsi" w:hAnsiTheme="majorHAnsi"/>
        </w:rPr>
      </w:pPr>
      <w:r w:rsidRPr="0020485E">
        <w:rPr>
          <w:rFonts w:asciiTheme="majorHAnsi" w:hAnsiTheme="majorHAnsi"/>
        </w:rPr>
        <w:t>The Global Disaster Preparedness Centre (GDPC) is also supporting such initiatives</w:t>
      </w:r>
      <w:r w:rsidR="00A527CD">
        <w:rPr>
          <w:rFonts w:asciiTheme="majorHAnsi" w:hAnsiTheme="majorHAnsi"/>
        </w:rPr>
        <w:t>.</w:t>
      </w:r>
    </w:p>
    <w:p w:rsidR="008E6919" w:rsidRPr="008E6919" w:rsidRDefault="008E6919" w:rsidP="00943328">
      <w:pPr>
        <w:pStyle w:val="Heading1"/>
      </w:pPr>
      <w:r w:rsidRPr="008E6919">
        <w:t xml:space="preserve">3. ADVANCE: A Disaster Resilient and Climate Adaptive ASEAN Community </w:t>
      </w:r>
    </w:p>
    <w:p w:rsidR="008E6919" w:rsidRPr="008E6919" w:rsidRDefault="008E6919" w:rsidP="0020485E">
      <w:pPr>
        <w:spacing w:after="120"/>
        <w:rPr>
          <w:rFonts w:asciiTheme="majorHAnsi" w:hAnsiTheme="majorHAnsi"/>
          <w:b/>
          <w:bCs/>
          <w:sz w:val="24"/>
        </w:rPr>
      </w:pPr>
      <w:r w:rsidRPr="008E6919">
        <w:rPr>
          <w:rFonts w:asciiTheme="majorHAnsi" w:hAnsiTheme="majorHAnsi"/>
          <w:b/>
          <w:bCs/>
          <w:sz w:val="24"/>
        </w:rPr>
        <w:t>Institutional capacity and policy frameworks</w:t>
      </w:r>
    </w:p>
    <w:p w:rsidR="008E6919" w:rsidRPr="00E1779B" w:rsidRDefault="008E6919" w:rsidP="000F4B5C">
      <w:pPr>
        <w:pStyle w:val="ListParagraph"/>
        <w:numPr>
          <w:ilvl w:val="0"/>
          <w:numId w:val="13"/>
        </w:numPr>
        <w:spacing w:line="276" w:lineRule="auto"/>
        <w:ind w:left="714" w:hanging="357"/>
        <w:rPr>
          <w:rFonts w:asciiTheme="majorHAnsi" w:hAnsiTheme="majorHAnsi"/>
        </w:rPr>
      </w:pPr>
      <w:r w:rsidRPr="00E1779B">
        <w:rPr>
          <w:rFonts w:asciiTheme="majorHAnsi" w:hAnsiTheme="majorHAnsi"/>
        </w:rPr>
        <w:t>There are well-established regional networks</w:t>
      </w:r>
      <w:r w:rsidR="0014656F">
        <w:rPr>
          <w:rStyle w:val="EndnoteReference"/>
          <w:rFonts w:asciiTheme="majorHAnsi" w:hAnsiTheme="majorHAnsi"/>
        </w:rPr>
        <w:endnoteReference w:id="2"/>
      </w:r>
      <w:r w:rsidR="00C61DF1">
        <w:rPr>
          <w:rFonts w:asciiTheme="majorHAnsi" w:hAnsiTheme="majorHAnsi"/>
        </w:rPr>
        <w:t xml:space="preserve"> among the ten</w:t>
      </w:r>
      <w:r w:rsidRPr="00E1779B">
        <w:rPr>
          <w:rFonts w:asciiTheme="majorHAnsi" w:hAnsiTheme="majorHAnsi"/>
        </w:rPr>
        <w:t xml:space="preserve"> National Societies and Timor </w:t>
      </w:r>
      <w:proofErr w:type="spellStart"/>
      <w:r w:rsidRPr="00E1779B">
        <w:rPr>
          <w:rFonts w:asciiTheme="majorHAnsi" w:hAnsiTheme="majorHAnsi"/>
        </w:rPr>
        <w:t>Leste</w:t>
      </w:r>
      <w:proofErr w:type="spellEnd"/>
      <w:r w:rsidRPr="00E1779B">
        <w:rPr>
          <w:rFonts w:asciiTheme="majorHAnsi" w:hAnsiTheme="majorHAnsi"/>
        </w:rPr>
        <w:t xml:space="preserve"> to share knowledge and tools, while promoting peer to peer support. </w:t>
      </w:r>
    </w:p>
    <w:p w:rsidR="008E6919" w:rsidRPr="00E1779B" w:rsidRDefault="008E6919" w:rsidP="000F4B5C">
      <w:pPr>
        <w:pStyle w:val="ListParagraph"/>
        <w:numPr>
          <w:ilvl w:val="0"/>
          <w:numId w:val="13"/>
        </w:numPr>
        <w:spacing w:line="276" w:lineRule="auto"/>
        <w:ind w:left="714" w:hanging="357"/>
        <w:rPr>
          <w:rFonts w:asciiTheme="majorHAnsi" w:hAnsiTheme="majorHAnsi"/>
        </w:rPr>
      </w:pPr>
      <w:r w:rsidRPr="00E1779B">
        <w:rPr>
          <w:rFonts w:asciiTheme="majorHAnsi" w:hAnsiTheme="majorHAnsi"/>
        </w:rPr>
        <w:t xml:space="preserve">The </w:t>
      </w:r>
      <w:hyperlink r:id="rId10" w:history="1">
        <w:r w:rsidRPr="00E1779B">
          <w:rPr>
            <w:rStyle w:val="Hyperlink"/>
            <w:rFonts w:asciiTheme="majorHAnsi" w:hAnsiTheme="majorHAnsi"/>
          </w:rPr>
          <w:t>online library of the SEA Red Cross and Red Crescent Societies</w:t>
        </w:r>
      </w:hyperlink>
      <w:r w:rsidRPr="00E1779B">
        <w:rPr>
          <w:rFonts w:asciiTheme="majorHAnsi" w:hAnsiTheme="majorHAnsi"/>
        </w:rPr>
        <w:t xml:space="preserve"> is open to all partners and aims at capitalizing learning and experience</w:t>
      </w:r>
      <w:r w:rsidR="0014656F">
        <w:rPr>
          <w:rFonts w:asciiTheme="majorHAnsi" w:hAnsiTheme="majorHAnsi"/>
        </w:rPr>
        <w:t>.</w:t>
      </w:r>
    </w:p>
    <w:p w:rsidR="008E6919" w:rsidRPr="00E1779B" w:rsidRDefault="00C61DF1" w:rsidP="000F4B5C">
      <w:pPr>
        <w:pStyle w:val="ListParagraph"/>
        <w:numPr>
          <w:ilvl w:val="0"/>
          <w:numId w:val="13"/>
        </w:numPr>
        <w:spacing w:before="0" w:line="276" w:lineRule="auto"/>
        <w:ind w:left="714" w:hanging="357"/>
        <w:rPr>
          <w:rFonts w:asciiTheme="majorHAnsi" w:hAnsiTheme="majorHAnsi"/>
        </w:rPr>
      </w:pPr>
      <w:r>
        <w:rPr>
          <w:rFonts w:asciiTheme="majorHAnsi" w:hAnsiTheme="majorHAnsi"/>
        </w:rPr>
        <w:t>The ten</w:t>
      </w:r>
      <w:r w:rsidR="008E6919" w:rsidRPr="00E1779B">
        <w:rPr>
          <w:rFonts w:asciiTheme="majorHAnsi" w:hAnsiTheme="majorHAnsi"/>
        </w:rPr>
        <w:t xml:space="preserve"> NSs and the IFRC have taken a very active role in Sendai (DRR framework), have contributed to the Sustaina</w:t>
      </w:r>
      <w:r w:rsidR="00943328">
        <w:rPr>
          <w:rFonts w:asciiTheme="majorHAnsi" w:hAnsiTheme="majorHAnsi"/>
        </w:rPr>
        <w:t>ble Development Goals 2015</w:t>
      </w:r>
      <w:r w:rsidR="00943328" w:rsidRPr="00943328">
        <w:rPr>
          <w:rFonts w:asciiTheme="majorHAnsi" w:hAnsiTheme="majorHAnsi" w:cs="TimesNewRomanPS-BoldMT"/>
          <w:bCs/>
          <w:i/>
          <w:szCs w:val="22"/>
        </w:rPr>
        <w:t>–</w:t>
      </w:r>
      <w:r w:rsidR="00943328">
        <w:rPr>
          <w:rFonts w:asciiTheme="majorHAnsi" w:hAnsiTheme="majorHAnsi"/>
        </w:rPr>
        <w:t>2030</w:t>
      </w:r>
      <w:r w:rsidR="008E6919" w:rsidRPr="00E1779B">
        <w:rPr>
          <w:rFonts w:asciiTheme="majorHAnsi" w:hAnsiTheme="majorHAnsi"/>
        </w:rPr>
        <w:t>, are committed to support climate adaptive solutions in the region, and have contributed actively to the World Humanitarian Summit. They are committed to take an active role in the ASEAN region in the follow-up of these internationa</w:t>
      </w:r>
      <w:r>
        <w:rPr>
          <w:rFonts w:asciiTheme="majorHAnsi" w:hAnsiTheme="majorHAnsi"/>
        </w:rPr>
        <w:t xml:space="preserve">l summits and decisions, along with governments, civil society and </w:t>
      </w:r>
      <w:r w:rsidR="008E6919" w:rsidRPr="00E1779B">
        <w:rPr>
          <w:rFonts w:asciiTheme="majorHAnsi" w:hAnsiTheme="majorHAnsi"/>
        </w:rPr>
        <w:t xml:space="preserve">private sector. </w:t>
      </w:r>
    </w:p>
    <w:p w:rsidR="008E6919" w:rsidRPr="00E1779B" w:rsidRDefault="008E6919" w:rsidP="000F4B5C">
      <w:pPr>
        <w:pStyle w:val="ListParagraph"/>
        <w:numPr>
          <w:ilvl w:val="0"/>
          <w:numId w:val="13"/>
        </w:numPr>
        <w:spacing w:line="276" w:lineRule="auto"/>
        <w:ind w:left="714" w:hanging="357"/>
        <w:rPr>
          <w:rFonts w:asciiTheme="majorHAnsi" w:hAnsiTheme="majorHAnsi"/>
        </w:rPr>
      </w:pPr>
      <w:r w:rsidRPr="00E1779B">
        <w:rPr>
          <w:rFonts w:asciiTheme="majorHAnsi" w:hAnsiTheme="majorHAnsi"/>
        </w:rPr>
        <w:t xml:space="preserve">The IFRC and National Societies have supported governments to make </w:t>
      </w:r>
      <w:hyperlink r:id="rId11" w:history="1">
        <w:r w:rsidRPr="00E1779B">
          <w:rPr>
            <w:rStyle w:val="Hyperlink"/>
            <w:rFonts w:asciiTheme="majorHAnsi" w:hAnsiTheme="majorHAnsi"/>
          </w:rPr>
          <w:t>real progress in the development of national disaster laws and policies,</w:t>
        </w:r>
      </w:hyperlink>
      <w:r w:rsidRPr="00E1779B">
        <w:rPr>
          <w:rFonts w:asciiTheme="majorHAnsi" w:hAnsiTheme="majorHAnsi"/>
        </w:rPr>
        <w:t xml:space="preserve"> and will continue to promote effective integration of disaster and climate change measures. The Disaster Law </w:t>
      </w:r>
      <w:proofErr w:type="spellStart"/>
      <w:r w:rsidRPr="00E1779B">
        <w:rPr>
          <w:rFonts w:asciiTheme="majorHAnsi" w:hAnsiTheme="majorHAnsi"/>
        </w:rPr>
        <w:t>programme</w:t>
      </w:r>
      <w:proofErr w:type="spellEnd"/>
      <w:r w:rsidRPr="00E1779B">
        <w:rPr>
          <w:rFonts w:asciiTheme="majorHAnsi" w:hAnsiTheme="majorHAnsi"/>
        </w:rPr>
        <w:t xml:space="preserve"> has widened its area of support to Disaster Risk Reduction and laws, using th</w:t>
      </w:r>
      <w:r w:rsidR="00C61DF1">
        <w:rPr>
          <w:rFonts w:asciiTheme="majorHAnsi" w:hAnsiTheme="majorHAnsi"/>
        </w:rPr>
        <w:t>e IFRC/UNDP jointly developed ten</w:t>
      </w:r>
      <w:r w:rsidRPr="00E1779B">
        <w:rPr>
          <w:rFonts w:asciiTheme="majorHAnsi" w:hAnsiTheme="majorHAnsi"/>
        </w:rPr>
        <w:t xml:space="preserve"> points checklist. </w:t>
      </w:r>
    </w:p>
    <w:p w:rsidR="008E6919" w:rsidRPr="00E1779B" w:rsidRDefault="008E6919" w:rsidP="000F4B5C">
      <w:pPr>
        <w:pStyle w:val="ListParagraph"/>
        <w:numPr>
          <w:ilvl w:val="0"/>
          <w:numId w:val="13"/>
        </w:numPr>
        <w:spacing w:line="276" w:lineRule="auto"/>
        <w:ind w:left="714" w:hanging="357"/>
        <w:rPr>
          <w:rFonts w:asciiTheme="majorHAnsi" w:hAnsiTheme="majorHAnsi"/>
        </w:rPr>
      </w:pPr>
      <w:r w:rsidRPr="00E1779B">
        <w:rPr>
          <w:rFonts w:asciiTheme="majorHAnsi" w:hAnsiTheme="majorHAnsi"/>
        </w:rPr>
        <w:t xml:space="preserve">Gender and diversity policies and strategies are being designed by National Societies to provide a framework to guide and embed gender, diversity and inclusive approaches to disaster resilience within the National Society </w:t>
      </w:r>
      <w:proofErr w:type="spellStart"/>
      <w:r w:rsidRPr="00E1779B">
        <w:rPr>
          <w:rFonts w:asciiTheme="majorHAnsi" w:hAnsiTheme="majorHAnsi"/>
        </w:rPr>
        <w:t>organisation</w:t>
      </w:r>
      <w:proofErr w:type="spellEnd"/>
      <w:r w:rsidRPr="00E1779B">
        <w:rPr>
          <w:rFonts w:asciiTheme="majorHAnsi" w:hAnsiTheme="majorHAnsi"/>
        </w:rPr>
        <w:t xml:space="preserve"> and in </w:t>
      </w:r>
      <w:proofErr w:type="spellStart"/>
      <w:r w:rsidRPr="00E1779B">
        <w:rPr>
          <w:rFonts w:asciiTheme="majorHAnsi" w:hAnsiTheme="majorHAnsi"/>
        </w:rPr>
        <w:t>programmes</w:t>
      </w:r>
      <w:proofErr w:type="spellEnd"/>
      <w:r w:rsidRPr="00E1779B">
        <w:rPr>
          <w:rFonts w:asciiTheme="majorHAnsi" w:hAnsiTheme="majorHAnsi"/>
        </w:rPr>
        <w:t xml:space="preserve">.  </w:t>
      </w:r>
    </w:p>
    <w:p w:rsidR="008E6919" w:rsidRPr="008E6919" w:rsidRDefault="008E6919" w:rsidP="0020485E">
      <w:pPr>
        <w:spacing w:after="120"/>
        <w:rPr>
          <w:rFonts w:asciiTheme="majorHAnsi" w:hAnsiTheme="majorHAnsi"/>
          <w:b/>
          <w:bCs/>
          <w:sz w:val="24"/>
          <w:lang w:val="en-GB"/>
        </w:rPr>
      </w:pPr>
      <w:r w:rsidRPr="008E6919">
        <w:rPr>
          <w:rFonts w:asciiTheme="majorHAnsi" w:hAnsiTheme="majorHAnsi"/>
          <w:b/>
          <w:bCs/>
          <w:sz w:val="24"/>
          <w:lang w:val="en-GB"/>
        </w:rPr>
        <w:t>Youth leadership in DRR and Climate Change</w:t>
      </w:r>
    </w:p>
    <w:p w:rsidR="008E6919" w:rsidRPr="008E6919" w:rsidRDefault="008E6919" w:rsidP="000F4B5C">
      <w:pPr>
        <w:pStyle w:val="ListParagraph"/>
        <w:numPr>
          <w:ilvl w:val="0"/>
          <w:numId w:val="5"/>
        </w:numPr>
        <w:spacing w:line="276" w:lineRule="auto"/>
        <w:ind w:left="714" w:hanging="357"/>
        <w:rPr>
          <w:rFonts w:asciiTheme="majorHAnsi" w:hAnsiTheme="majorHAnsi"/>
        </w:rPr>
      </w:pPr>
      <w:r w:rsidRPr="008E6919">
        <w:rPr>
          <w:rFonts w:asciiTheme="majorHAnsi" w:hAnsiTheme="majorHAnsi"/>
        </w:rPr>
        <w:t xml:space="preserve">The </w:t>
      </w:r>
      <w:hyperlink r:id="rId12" w:history="1">
        <w:r w:rsidRPr="008E6919">
          <w:rPr>
            <w:rStyle w:val="Hyperlink"/>
            <w:rFonts w:asciiTheme="majorHAnsi" w:hAnsiTheme="majorHAnsi"/>
          </w:rPr>
          <w:t>SEA Youth Network</w:t>
        </w:r>
      </w:hyperlink>
      <w:r w:rsidRPr="008E6919">
        <w:rPr>
          <w:rFonts w:asciiTheme="majorHAnsi" w:hAnsiTheme="majorHAnsi"/>
        </w:rPr>
        <w:t xml:space="preserve"> among National Societies is increasingly engaging in resilience programming, in particular through its </w:t>
      </w:r>
      <w:hyperlink r:id="rId13" w:history="1">
        <w:r w:rsidRPr="008E6919">
          <w:rPr>
            <w:rStyle w:val="Hyperlink"/>
            <w:rFonts w:asciiTheme="majorHAnsi" w:hAnsiTheme="majorHAnsi"/>
          </w:rPr>
          <w:t xml:space="preserve">Youths as Agents of </w:t>
        </w:r>
        <w:proofErr w:type="spellStart"/>
        <w:r w:rsidRPr="008E6919">
          <w:rPr>
            <w:rStyle w:val="Hyperlink"/>
            <w:rFonts w:asciiTheme="majorHAnsi" w:hAnsiTheme="majorHAnsi"/>
          </w:rPr>
          <w:t>Behavioural</w:t>
        </w:r>
        <w:proofErr w:type="spellEnd"/>
        <w:r w:rsidRPr="008E6919">
          <w:rPr>
            <w:rStyle w:val="Hyperlink"/>
            <w:rFonts w:asciiTheme="majorHAnsi" w:hAnsiTheme="majorHAnsi"/>
          </w:rPr>
          <w:t xml:space="preserve"> Change (YABC)</w:t>
        </w:r>
      </w:hyperlink>
      <w:r w:rsidR="0014656F">
        <w:rPr>
          <w:rStyle w:val="EndnoteReference"/>
          <w:rFonts w:asciiTheme="majorHAnsi" w:hAnsiTheme="majorHAnsi"/>
          <w:color w:val="0000FF"/>
          <w:u w:val="single"/>
        </w:rPr>
        <w:endnoteReference w:id="3"/>
      </w:r>
      <w:r w:rsidRPr="008E6919">
        <w:rPr>
          <w:rFonts w:asciiTheme="majorHAnsi" w:hAnsiTheme="majorHAnsi"/>
        </w:rPr>
        <w:t xml:space="preserve"> toolkit</w:t>
      </w:r>
      <w:r w:rsidR="00A527CD">
        <w:rPr>
          <w:rFonts w:asciiTheme="majorHAnsi" w:hAnsiTheme="majorHAnsi"/>
        </w:rPr>
        <w:t>.</w:t>
      </w:r>
    </w:p>
    <w:p w:rsidR="008E6919" w:rsidRPr="008E6919" w:rsidRDefault="008E6919" w:rsidP="000F4B5C">
      <w:pPr>
        <w:pStyle w:val="ListParagraph"/>
        <w:numPr>
          <w:ilvl w:val="0"/>
          <w:numId w:val="5"/>
        </w:numPr>
        <w:spacing w:line="276" w:lineRule="auto"/>
        <w:ind w:left="714" w:hanging="357"/>
        <w:rPr>
          <w:rFonts w:asciiTheme="majorHAnsi" w:hAnsiTheme="majorHAnsi" w:cstheme="majorHAnsi"/>
        </w:rPr>
      </w:pPr>
      <w:r w:rsidRPr="008E6919">
        <w:rPr>
          <w:rFonts w:asciiTheme="majorHAnsi" w:hAnsiTheme="majorHAnsi" w:cstheme="majorHAnsi"/>
        </w:rPr>
        <w:t>SEAYN is working in collaboration with Disaster Management teams of the NSs in ensuring School Safety tools are youth- friendly, also contributing to the ASEAN Safe School Initiative. This includes initial discussions towards a mapping of school safety initiatives across all ASEAN countries</w:t>
      </w:r>
      <w:r w:rsidR="00A527CD">
        <w:rPr>
          <w:rFonts w:asciiTheme="majorHAnsi" w:hAnsiTheme="majorHAnsi" w:cstheme="majorHAnsi"/>
        </w:rPr>
        <w:t>.</w:t>
      </w:r>
    </w:p>
    <w:p w:rsidR="008E6919" w:rsidRPr="008E6919" w:rsidRDefault="008E6919" w:rsidP="0020485E">
      <w:pPr>
        <w:spacing w:after="120"/>
        <w:rPr>
          <w:rFonts w:asciiTheme="majorHAnsi" w:hAnsiTheme="majorHAnsi"/>
          <w:sz w:val="24"/>
          <w:lang w:val="en-GB"/>
        </w:rPr>
      </w:pPr>
      <w:r w:rsidRPr="008E6919">
        <w:rPr>
          <w:rFonts w:asciiTheme="majorHAnsi" w:hAnsiTheme="majorHAnsi"/>
          <w:b/>
          <w:bCs/>
          <w:sz w:val="24"/>
          <w:lang w:val="en-GB"/>
        </w:rPr>
        <w:t>Model for replicable community resilience programming</w:t>
      </w:r>
    </w:p>
    <w:p w:rsidR="008E6919" w:rsidRPr="008E6919" w:rsidRDefault="008E6919" w:rsidP="000F4B5C">
      <w:pPr>
        <w:pStyle w:val="ListParagraph"/>
        <w:numPr>
          <w:ilvl w:val="0"/>
          <w:numId w:val="3"/>
        </w:numPr>
        <w:spacing w:before="0" w:after="200" w:line="276" w:lineRule="auto"/>
        <w:rPr>
          <w:rFonts w:asciiTheme="majorHAnsi" w:hAnsiTheme="majorHAnsi"/>
        </w:rPr>
      </w:pPr>
      <w:r w:rsidRPr="008E6919">
        <w:rPr>
          <w:rFonts w:asciiTheme="majorHAnsi" w:hAnsiTheme="majorHAnsi"/>
        </w:rPr>
        <w:t xml:space="preserve">The IFRC has launched its </w:t>
      </w:r>
      <w:hyperlink r:id="rId14" w:history="1">
        <w:r w:rsidRPr="008E6919">
          <w:rPr>
            <w:rStyle w:val="Hyperlink"/>
            <w:rFonts w:asciiTheme="majorHAnsi" w:hAnsiTheme="majorHAnsi"/>
          </w:rPr>
          <w:t>One Billion Coalition for Resilience</w:t>
        </w:r>
      </w:hyperlink>
      <w:r w:rsidRPr="008E6919">
        <w:rPr>
          <w:rStyle w:val="Hyperlink"/>
          <w:rFonts w:asciiTheme="majorHAnsi" w:hAnsiTheme="majorHAnsi"/>
        </w:rPr>
        <w:t xml:space="preserve"> (1BC)</w:t>
      </w:r>
      <w:r w:rsidR="0014656F">
        <w:rPr>
          <w:rStyle w:val="EndnoteReference"/>
          <w:rFonts w:asciiTheme="majorHAnsi" w:hAnsiTheme="majorHAnsi"/>
          <w:color w:val="0000FF"/>
          <w:u w:val="single"/>
        </w:rPr>
        <w:endnoteReference w:id="4"/>
      </w:r>
      <w:r w:rsidRPr="008E6919">
        <w:rPr>
          <w:rFonts w:asciiTheme="majorHAnsi" w:hAnsiTheme="majorHAnsi"/>
        </w:rPr>
        <w:t xml:space="preserve"> in 2015 as an invitation for enhanced partnerships towards community resilience. It has started discussions with ASEAN to explore the possibility to launch the 1BC together with ASEAN in South East Asia. NSs in the region </w:t>
      </w:r>
      <w:r w:rsidRPr="008E6919">
        <w:rPr>
          <w:rFonts w:asciiTheme="majorHAnsi" w:hAnsiTheme="majorHAnsi"/>
        </w:rPr>
        <w:lastRenderedPageBreak/>
        <w:t xml:space="preserve">engage each year in the celebration of IDDR and ADDM day to highlight successful </w:t>
      </w:r>
      <w:proofErr w:type="spellStart"/>
      <w:r w:rsidRPr="008E6919">
        <w:rPr>
          <w:rFonts w:asciiTheme="majorHAnsi" w:hAnsiTheme="majorHAnsi"/>
        </w:rPr>
        <w:t>programmes</w:t>
      </w:r>
      <w:proofErr w:type="spellEnd"/>
      <w:r w:rsidRPr="008E6919">
        <w:rPr>
          <w:rFonts w:asciiTheme="majorHAnsi" w:hAnsiTheme="majorHAnsi"/>
        </w:rPr>
        <w:t xml:space="preserve"> and partnerships</w:t>
      </w:r>
      <w:r>
        <w:rPr>
          <w:rFonts w:asciiTheme="majorHAnsi" w:hAnsiTheme="majorHAnsi"/>
        </w:rPr>
        <w:t>.</w:t>
      </w:r>
    </w:p>
    <w:p w:rsidR="008E6919" w:rsidRPr="005E5D8E" w:rsidRDefault="008E6919" w:rsidP="00943328">
      <w:pPr>
        <w:pStyle w:val="Heading1"/>
      </w:pPr>
      <w:r w:rsidRPr="000A2E7A">
        <w:t>4. PROTECT: Protecting Economic and Social Gains of ASEAN Community Integration through Risk Transfer and Social Protection</w:t>
      </w:r>
    </w:p>
    <w:p w:rsidR="008E6919" w:rsidRPr="008E6919" w:rsidRDefault="008E6919" w:rsidP="000F4B5C">
      <w:pPr>
        <w:pStyle w:val="ListParagraph"/>
        <w:numPr>
          <w:ilvl w:val="0"/>
          <w:numId w:val="4"/>
        </w:numPr>
        <w:spacing w:before="0" w:after="200" w:line="276" w:lineRule="auto"/>
        <w:rPr>
          <w:rFonts w:asciiTheme="majorHAnsi" w:hAnsiTheme="majorHAnsi"/>
        </w:rPr>
      </w:pPr>
      <w:r w:rsidRPr="00EE76BB">
        <w:rPr>
          <w:rFonts w:asciiTheme="majorHAnsi" w:hAnsiTheme="majorHAnsi"/>
        </w:rPr>
        <w:t>The IFRC will pilot its Global Disaster Preparedness Centre approach to business continuity for very small, small and medium enterprises</w:t>
      </w:r>
      <w:r>
        <w:rPr>
          <w:rFonts w:asciiTheme="majorHAnsi" w:hAnsiTheme="majorHAnsi"/>
        </w:rPr>
        <w:t xml:space="preserve"> in </w:t>
      </w:r>
      <w:r w:rsidR="00C61DF1">
        <w:rPr>
          <w:rFonts w:asciiTheme="majorHAnsi" w:hAnsiTheme="majorHAnsi"/>
        </w:rPr>
        <w:t>2017.</w:t>
      </w:r>
    </w:p>
    <w:p w:rsidR="008E6919" w:rsidRPr="0020485E" w:rsidRDefault="008E6919" w:rsidP="00943328">
      <w:pPr>
        <w:pStyle w:val="Heading1"/>
      </w:pPr>
      <w:r w:rsidRPr="000A2E7A">
        <w:t>5. RESPOND AS ONE: Transforming Mechanisms for ASEAN’s Leadership in Response</w:t>
      </w:r>
    </w:p>
    <w:p w:rsidR="008E6919" w:rsidRPr="00292556" w:rsidRDefault="008E6919" w:rsidP="000F4B5C">
      <w:pPr>
        <w:pStyle w:val="ListParagraph"/>
        <w:numPr>
          <w:ilvl w:val="0"/>
          <w:numId w:val="6"/>
        </w:numPr>
        <w:spacing w:before="0" w:after="200" w:line="276" w:lineRule="auto"/>
        <w:rPr>
          <w:rFonts w:asciiTheme="majorHAnsi" w:hAnsiTheme="majorHAnsi"/>
        </w:rPr>
      </w:pPr>
      <w:r w:rsidRPr="00292556">
        <w:rPr>
          <w:rFonts w:asciiTheme="majorHAnsi" w:hAnsiTheme="majorHAnsi"/>
        </w:rPr>
        <w:t>In each country, NSs are part of the national response mechanisms</w:t>
      </w:r>
      <w:r>
        <w:rPr>
          <w:rFonts w:asciiTheme="majorHAnsi" w:hAnsiTheme="majorHAnsi"/>
        </w:rPr>
        <w:t xml:space="preserve"> led by the NDMOs, contributing to </w:t>
      </w:r>
      <w:r w:rsidRPr="00292556">
        <w:rPr>
          <w:rFonts w:asciiTheme="majorHAnsi" w:hAnsiTheme="majorHAnsi"/>
        </w:rPr>
        <w:t xml:space="preserve">contingency plans, response teams, SOPs, </w:t>
      </w:r>
      <w:r>
        <w:rPr>
          <w:rFonts w:asciiTheme="majorHAnsi" w:hAnsiTheme="majorHAnsi"/>
        </w:rPr>
        <w:t>while maintaining their independence according to the RCRC Fundamental Principles</w:t>
      </w:r>
      <w:r w:rsidR="0014656F">
        <w:rPr>
          <w:rFonts w:asciiTheme="majorHAnsi" w:hAnsiTheme="majorHAnsi"/>
        </w:rPr>
        <w:t>.</w:t>
      </w:r>
    </w:p>
    <w:p w:rsidR="008E6919" w:rsidRDefault="008E6919" w:rsidP="000F4B5C">
      <w:pPr>
        <w:pStyle w:val="ListParagraph"/>
        <w:numPr>
          <w:ilvl w:val="0"/>
          <w:numId w:val="6"/>
        </w:numPr>
        <w:spacing w:before="0" w:after="200" w:line="276" w:lineRule="auto"/>
        <w:rPr>
          <w:rFonts w:asciiTheme="majorHAnsi" w:hAnsiTheme="majorHAnsi"/>
        </w:rPr>
      </w:pPr>
      <w:r w:rsidRPr="00292556">
        <w:rPr>
          <w:rFonts w:asciiTheme="majorHAnsi" w:hAnsiTheme="majorHAnsi"/>
        </w:rPr>
        <w:t>IFRC and NSs are a stakeholder of the ASEAN Joint Disaster Response Plan (AJDRP) under formulation</w:t>
      </w:r>
      <w:r w:rsidR="0014656F">
        <w:rPr>
          <w:rFonts w:asciiTheme="majorHAnsi" w:hAnsiTheme="majorHAnsi"/>
        </w:rPr>
        <w:t>.</w:t>
      </w:r>
    </w:p>
    <w:p w:rsidR="008E6919" w:rsidRPr="002D135B" w:rsidRDefault="008E6919" w:rsidP="000F4B5C">
      <w:pPr>
        <w:pStyle w:val="ListParagraph"/>
        <w:numPr>
          <w:ilvl w:val="0"/>
          <w:numId w:val="6"/>
        </w:numPr>
        <w:spacing w:before="0" w:after="200" w:line="276" w:lineRule="auto"/>
        <w:rPr>
          <w:rFonts w:asciiTheme="majorHAnsi" w:hAnsiTheme="majorHAnsi"/>
        </w:rPr>
      </w:pPr>
      <w:r w:rsidRPr="002D135B">
        <w:rPr>
          <w:rFonts w:asciiTheme="majorHAnsi" w:hAnsiTheme="majorHAnsi"/>
        </w:rPr>
        <w:t>The IFRC and NS provide technical advice to pioneer and implement procedures to facilitate and regulate international disaster assistance to ensure effective response.</w:t>
      </w:r>
    </w:p>
    <w:p w:rsidR="008E6919" w:rsidRPr="00EE76BB" w:rsidRDefault="008E6919" w:rsidP="000F4B5C">
      <w:pPr>
        <w:pStyle w:val="ListParagraph"/>
        <w:numPr>
          <w:ilvl w:val="0"/>
          <w:numId w:val="6"/>
        </w:numPr>
        <w:spacing w:before="0" w:after="200" w:line="276" w:lineRule="auto"/>
        <w:rPr>
          <w:rFonts w:asciiTheme="majorHAnsi" w:hAnsiTheme="majorHAnsi"/>
        </w:rPr>
      </w:pPr>
      <w:r w:rsidRPr="00292556">
        <w:rPr>
          <w:rFonts w:asciiTheme="majorHAnsi" w:hAnsiTheme="majorHAnsi"/>
        </w:rPr>
        <w:t xml:space="preserve">IFRC and AHA Centre have </w:t>
      </w:r>
      <w:r>
        <w:rPr>
          <w:rFonts w:asciiTheme="majorHAnsi" w:hAnsiTheme="majorHAnsi"/>
        </w:rPr>
        <w:t xml:space="preserve">developed </w:t>
      </w:r>
      <w:r w:rsidRPr="00EE76BB">
        <w:rPr>
          <w:rFonts w:asciiTheme="majorHAnsi" w:hAnsiTheme="majorHAnsi"/>
        </w:rPr>
        <w:t xml:space="preserve">a </w:t>
      </w:r>
      <w:hyperlink r:id="rId15" w:history="1">
        <w:r w:rsidRPr="00EE76BB">
          <w:rPr>
            <w:rStyle w:val="Hyperlink"/>
            <w:rFonts w:asciiTheme="majorHAnsi" w:hAnsiTheme="majorHAnsi"/>
          </w:rPr>
          <w:t>joint action plan</w:t>
        </w:r>
      </w:hyperlink>
      <w:r w:rsidRPr="00EE76BB">
        <w:rPr>
          <w:rFonts w:asciiTheme="majorHAnsi" w:hAnsiTheme="majorHAnsi"/>
        </w:rPr>
        <w:t xml:space="preserve"> since October 2014</w:t>
      </w:r>
      <w:r w:rsidR="0014656F">
        <w:rPr>
          <w:rFonts w:asciiTheme="majorHAnsi" w:hAnsiTheme="majorHAnsi"/>
        </w:rPr>
        <w:t>.</w:t>
      </w:r>
    </w:p>
    <w:p w:rsidR="008E6919" w:rsidRPr="00F27958" w:rsidRDefault="008E6919" w:rsidP="000F4B5C">
      <w:pPr>
        <w:pStyle w:val="ListParagraph"/>
        <w:numPr>
          <w:ilvl w:val="0"/>
          <w:numId w:val="6"/>
        </w:numPr>
        <w:spacing w:before="0" w:after="200" w:line="276" w:lineRule="auto"/>
        <w:rPr>
          <w:rFonts w:asciiTheme="majorHAnsi" w:hAnsiTheme="majorHAnsi"/>
        </w:rPr>
      </w:pPr>
      <w:r w:rsidRPr="00EE76BB">
        <w:rPr>
          <w:rFonts w:asciiTheme="majorHAnsi" w:hAnsiTheme="majorHAnsi"/>
        </w:rPr>
        <w:t xml:space="preserve">IFRC and NSs </w:t>
      </w:r>
      <w:r>
        <w:rPr>
          <w:rFonts w:asciiTheme="majorHAnsi" w:hAnsiTheme="majorHAnsi"/>
        </w:rPr>
        <w:t xml:space="preserve">have been </w:t>
      </w:r>
      <w:r w:rsidRPr="00F27958">
        <w:rPr>
          <w:rFonts w:asciiTheme="majorHAnsi" w:hAnsiTheme="majorHAnsi"/>
        </w:rPr>
        <w:t>participat</w:t>
      </w:r>
      <w:r>
        <w:rPr>
          <w:rFonts w:asciiTheme="majorHAnsi" w:hAnsiTheme="majorHAnsi"/>
        </w:rPr>
        <w:t>ing</w:t>
      </w:r>
      <w:r w:rsidRPr="00292556">
        <w:rPr>
          <w:rFonts w:asciiTheme="majorHAnsi" w:hAnsiTheme="majorHAnsi"/>
        </w:rPr>
        <w:t xml:space="preserve"> in ARDEX and </w:t>
      </w:r>
      <w:hyperlink r:id="rId16" w:history="1">
        <w:proofErr w:type="spellStart"/>
        <w:r w:rsidRPr="00EE76BB">
          <w:rPr>
            <w:rStyle w:val="Hyperlink"/>
            <w:rFonts w:asciiTheme="majorHAnsi" w:hAnsiTheme="majorHAnsi"/>
          </w:rPr>
          <w:t>DiREx</w:t>
        </w:r>
        <w:proofErr w:type="spellEnd"/>
      </w:hyperlink>
      <w:r w:rsidRPr="00292556">
        <w:rPr>
          <w:rFonts w:asciiTheme="majorHAnsi" w:hAnsiTheme="majorHAnsi"/>
        </w:rPr>
        <w:t xml:space="preserve"> </w:t>
      </w:r>
      <w:r>
        <w:rPr>
          <w:rFonts w:asciiTheme="majorHAnsi" w:hAnsiTheme="majorHAnsi"/>
        </w:rPr>
        <w:t>for</w:t>
      </w:r>
      <w:r w:rsidRPr="00F27958">
        <w:rPr>
          <w:rFonts w:asciiTheme="majorHAnsi" w:hAnsiTheme="majorHAnsi"/>
        </w:rPr>
        <w:t xml:space="preserve"> several year</w:t>
      </w:r>
      <w:r>
        <w:rPr>
          <w:rFonts w:asciiTheme="majorHAnsi" w:hAnsiTheme="majorHAnsi"/>
        </w:rPr>
        <w:t>s</w:t>
      </w:r>
      <w:r w:rsidRPr="00F27958">
        <w:rPr>
          <w:rFonts w:asciiTheme="majorHAnsi" w:hAnsiTheme="majorHAnsi"/>
        </w:rPr>
        <w:t xml:space="preserve"> and are also active in Civil-Military coordination</w:t>
      </w:r>
      <w:r w:rsidR="0014656F">
        <w:rPr>
          <w:rFonts w:asciiTheme="majorHAnsi" w:hAnsiTheme="majorHAnsi"/>
        </w:rPr>
        <w:t>.</w:t>
      </w:r>
    </w:p>
    <w:p w:rsidR="008E6919" w:rsidRDefault="008E6919" w:rsidP="000F4B5C">
      <w:pPr>
        <w:pStyle w:val="ListParagraph"/>
        <w:numPr>
          <w:ilvl w:val="0"/>
          <w:numId w:val="6"/>
        </w:numPr>
        <w:spacing w:before="0" w:after="200" w:line="276" w:lineRule="auto"/>
        <w:rPr>
          <w:rFonts w:asciiTheme="majorHAnsi" w:hAnsiTheme="majorHAnsi"/>
        </w:rPr>
      </w:pPr>
      <w:r w:rsidRPr="00F27958">
        <w:rPr>
          <w:rFonts w:asciiTheme="majorHAnsi" w:hAnsiTheme="majorHAnsi"/>
        </w:rPr>
        <w:t xml:space="preserve">IFRC and NSs participate in ERAT trainings. A member of the Indonesian Red Cross (PMI) </w:t>
      </w:r>
      <w:proofErr w:type="gramStart"/>
      <w:r w:rsidRPr="00F27958">
        <w:rPr>
          <w:rFonts w:asciiTheme="majorHAnsi" w:hAnsiTheme="majorHAnsi"/>
        </w:rPr>
        <w:t>was  mobilized</w:t>
      </w:r>
      <w:proofErr w:type="gramEnd"/>
      <w:r w:rsidRPr="00F27958">
        <w:rPr>
          <w:rFonts w:asciiTheme="majorHAnsi" w:hAnsiTheme="majorHAnsi"/>
        </w:rPr>
        <w:t xml:space="preserve"> as ERAT in response to Myanmar floods in August 2015.</w:t>
      </w:r>
    </w:p>
    <w:p w:rsidR="008E6919" w:rsidRDefault="008E6919" w:rsidP="000F4B5C">
      <w:pPr>
        <w:pStyle w:val="ListParagraph"/>
        <w:numPr>
          <w:ilvl w:val="0"/>
          <w:numId w:val="6"/>
        </w:numPr>
        <w:spacing w:before="0" w:after="200" w:line="276" w:lineRule="auto"/>
        <w:rPr>
          <w:rFonts w:asciiTheme="majorHAnsi" w:hAnsiTheme="majorHAnsi"/>
        </w:rPr>
      </w:pPr>
      <w:r>
        <w:rPr>
          <w:rFonts w:asciiTheme="majorHAnsi" w:hAnsiTheme="majorHAnsi"/>
        </w:rPr>
        <w:t>The IFRC remains committed to become a predictable, trustful and reliable provider of choice for ASEAN with complementary capacities and assets to be deployed in case of large scale emergencies.</w:t>
      </w:r>
    </w:p>
    <w:p w:rsidR="008E6919" w:rsidRPr="0020485E" w:rsidRDefault="008E6919" w:rsidP="00943328">
      <w:pPr>
        <w:pStyle w:val="Heading1"/>
      </w:pPr>
      <w:r w:rsidRPr="000A2E7A">
        <w:t>6. EQUIP</w:t>
      </w:r>
      <w:r w:rsidRPr="00767C20">
        <w:t>: Enhanced Capacities for One ASEAN One Response</w:t>
      </w:r>
    </w:p>
    <w:p w:rsidR="008E6919" w:rsidRPr="0034322A" w:rsidRDefault="008E6919" w:rsidP="0020485E">
      <w:pPr>
        <w:spacing w:after="120"/>
        <w:rPr>
          <w:rFonts w:asciiTheme="majorHAnsi" w:hAnsiTheme="majorHAnsi"/>
          <w:b/>
          <w:bCs/>
          <w:lang w:val="en-GB"/>
        </w:rPr>
      </w:pPr>
      <w:r w:rsidRPr="0034322A">
        <w:rPr>
          <w:rFonts w:asciiTheme="majorHAnsi" w:hAnsiTheme="majorHAnsi"/>
          <w:b/>
          <w:bCs/>
          <w:lang w:val="en-GB"/>
        </w:rPr>
        <w:t>Disaster Emergency Logistics System of ASEAN (DELSA)</w:t>
      </w:r>
    </w:p>
    <w:p w:rsidR="008E6919" w:rsidRPr="00F27958" w:rsidRDefault="008E6919" w:rsidP="000F4B5C">
      <w:pPr>
        <w:pStyle w:val="ListParagraph"/>
        <w:numPr>
          <w:ilvl w:val="0"/>
          <w:numId w:val="8"/>
        </w:numPr>
        <w:spacing w:before="0" w:after="200" w:line="276" w:lineRule="auto"/>
        <w:rPr>
          <w:rFonts w:asciiTheme="majorHAnsi" w:hAnsiTheme="majorHAnsi"/>
        </w:rPr>
      </w:pPr>
      <w:r w:rsidRPr="00F27958">
        <w:rPr>
          <w:rFonts w:asciiTheme="majorHAnsi" w:hAnsiTheme="majorHAnsi"/>
        </w:rPr>
        <w:t>Both IFRC and NS maintain a network of warehouses at global, regional, national and local levels</w:t>
      </w:r>
      <w:r w:rsidR="0014656F">
        <w:rPr>
          <w:rFonts w:asciiTheme="majorHAnsi" w:hAnsiTheme="majorHAnsi"/>
        </w:rPr>
        <w:t>.</w:t>
      </w:r>
    </w:p>
    <w:p w:rsidR="008E6919" w:rsidRPr="00F27958" w:rsidRDefault="008E6919" w:rsidP="000F4B5C">
      <w:pPr>
        <w:pStyle w:val="ListParagraph"/>
        <w:numPr>
          <w:ilvl w:val="0"/>
          <w:numId w:val="8"/>
        </w:numPr>
        <w:spacing w:before="0" w:after="200" w:line="276" w:lineRule="auto"/>
        <w:rPr>
          <w:rFonts w:asciiTheme="majorHAnsi" w:hAnsiTheme="majorHAnsi"/>
        </w:rPr>
      </w:pPr>
      <w:r w:rsidRPr="00F27958">
        <w:rPr>
          <w:rFonts w:asciiTheme="majorHAnsi" w:hAnsiTheme="majorHAnsi"/>
        </w:rPr>
        <w:t xml:space="preserve">IFRC sharing its logistics expertise as part of the ACE </w:t>
      </w:r>
      <w:proofErr w:type="spellStart"/>
      <w:r w:rsidRPr="00F27958">
        <w:rPr>
          <w:rFonts w:asciiTheme="majorHAnsi" w:hAnsiTheme="majorHAnsi"/>
        </w:rPr>
        <w:t>Programme</w:t>
      </w:r>
      <w:proofErr w:type="spellEnd"/>
      <w:r w:rsidR="0014656F">
        <w:rPr>
          <w:rFonts w:asciiTheme="majorHAnsi" w:hAnsiTheme="majorHAnsi"/>
        </w:rPr>
        <w:t>.</w:t>
      </w:r>
    </w:p>
    <w:p w:rsidR="008E6919" w:rsidRPr="0034322A" w:rsidRDefault="008E6919" w:rsidP="0020485E">
      <w:pPr>
        <w:spacing w:after="120"/>
        <w:rPr>
          <w:rFonts w:asciiTheme="majorHAnsi" w:hAnsiTheme="majorHAnsi"/>
          <w:b/>
          <w:bCs/>
          <w:lang w:val="en-GB"/>
        </w:rPr>
      </w:pPr>
      <w:r w:rsidRPr="0034322A">
        <w:rPr>
          <w:rFonts w:asciiTheme="majorHAnsi" w:hAnsiTheme="majorHAnsi"/>
          <w:b/>
          <w:bCs/>
          <w:lang w:val="en-GB"/>
        </w:rPr>
        <w:t>Emergency Rapid Assessment Team (ERAT)</w:t>
      </w:r>
    </w:p>
    <w:p w:rsidR="008E6919" w:rsidRPr="00F27958" w:rsidRDefault="008E6919" w:rsidP="000F4B5C">
      <w:pPr>
        <w:pStyle w:val="ListParagraph"/>
        <w:numPr>
          <w:ilvl w:val="0"/>
          <w:numId w:val="7"/>
        </w:numPr>
        <w:spacing w:before="0" w:after="200" w:line="276" w:lineRule="auto"/>
        <w:rPr>
          <w:rFonts w:asciiTheme="majorHAnsi" w:hAnsiTheme="majorHAnsi"/>
        </w:rPr>
      </w:pPr>
      <w:r w:rsidRPr="00F27958">
        <w:rPr>
          <w:rFonts w:asciiTheme="majorHAnsi" w:hAnsiTheme="majorHAnsi"/>
        </w:rPr>
        <w:t xml:space="preserve">National Societies are part of the IFRC Regional Disaster Response Team (RDRT) and support each other in times of emergencies. </w:t>
      </w:r>
    </w:p>
    <w:p w:rsidR="008E6919" w:rsidRPr="00F27958" w:rsidRDefault="008E6919" w:rsidP="000F4B5C">
      <w:pPr>
        <w:pStyle w:val="ListParagraph"/>
        <w:numPr>
          <w:ilvl w:val="0"/>
          <w:numId w:val="7"/>
        </w:numPr>
        <w:spacing w:before="0" w:after="200" w:line="276" w:lineRule="auto"/>
        <w:rPr>
          <w:rFonts w:asciiTheme="majorHAnsi" w:hAnsiTheme="majorHAnsi"/>
        </w:rPr>
      </w:pPr>
      <w:r w:rsidRPr="00F27958">
        <w:rPr>
          <w:rFonts w:asciiTheme="majorHAnsi" w:hAnsiTheme="majorHAnsi"/>
        </w:rPr>
        <w:t>Key NS staffs are</w:t>
      </w:r>
      <w:r>
        <w:rPr>
          <w:rFonts w:asciiTheme="majorHAnsi" w:hAnsiTheme="majorHAnsi"/>
        </w:rPr>
        <w:t xml:space="preserve"> also</w:t>
      </w:r>
      <w:r w:rsidRPr="00F27958">
        <w:rPr>
          <w:rFonts w:asciiTheme="majorHAnsi" w:hAnsiTheme="majorHAnsi"/>
        </w:rPr>
        <w:t xml:space="preserve"> trained as ERAT</w:t>
      </w:r>
      <w:r w:rsidR="0014656F">
        <w:rPr>
          <w:rFonts w:asciiTheme="majorHAnsi" w:hAnsiTheme="majorHAnsi"/>
        </w:rPr>
        <w:t>.</w:t>
      </w:r>
    </w:p>
    <w:p w:rsidR="008E6919" w:rsidRPr="00F27958" w:rsidRDefault="008E6919" w:rsidP="000F4B5C">
      <w:pPr>
        <w:pStyle w:val="ListParagraph"/>
        <w:numPr>
          <w:ilvl w:val="0"/>
          <w:numId w:val="7"/>
        </w:numPr>
        <w:spacing w:before="0" w:after="200" w:line="276" w:lineRule="auto"/>
        <w:rPr>
          <w:rFonts w:asciiTheme="majorHAnsi" w:hAnsiTheme="majorHAnsi"/>
        </w:rPr>
      </w:pPr>
      <w:r w:rsidRPr="00F27958">
        <w:rPr>
          <w:rFonts w:asciiTheme="majorHAnsi" w:hAnsiTheme="majorHAnsi"/>
        </w:rPr>
        <w:t>IFRC and NS experience is shar</w:t>
      </w:r>
      <w:r w:rsidR="0020485E">
        <w:rPr>
          <w:rFonts w:asciiTheme="majorHAnsi" w:hAnsiTheme="majorHAnsi"/>
        </w:rPr>
        <w:t xml:space="preserve">ed as part of the ACE </w:t>
      </w:r>
      <w:proofErr w:type="spellStart"/>
      <w:r w:rsidR="0020485E">
        <w:rPr>
          <w:rFonts w:asciiTheme="majorHAnsi" w:hAnsiTheme="majorHAnsi"/>
        </w:rPr>
        <w:t>Programme</w:t>
      </w:r>
      <w:proofErr w:type="spellEnd"/>
      <w:r w:rsidR="0014656F">
        <w:rPr>
          <w:rFonts w:asciiTheme="majorHAnsi" w:hAnsiTheme="majorHAnsi"/>
        </w:rPr>
        <w:t>.</w:t>
      </w:r>
    </w:p>
    <w:p w:rsidR="005E5D8E" w:rsidRDefault="005E5D8E">
      <w:pPr>
        <w:spacing w:before="0"/>
        <w:rPr>
          <w:rFonts w:cs="Arial"/>
          <w:b/>
          <w:color w:val="FF0000"/>
          <w:sz w:val="24"/>
        </w:rPr>
      </w:pPr>
      <w:r>
        <w:br w:type="page"/>
      </w:r>
    </w:p>
    <w:p w:rsidR="008E6919" w:rsidRPr="0020485E" w:rsidRDefault="008E6919" w:rsidP="00943328">
      <w:pPr>
        <w:pStyle w:val="Heading1"/>
      </w:pPr>
      <w:r w:rsidRPr="000A2E7A">
        <w:lastRenderedPageBreak/>
        <w:t>7. RECOVERY: ASEAN Resilient Recovery</w:t>
      </w:r>
    </w:p>
    <w:p w:rsidR="008E6919" w:rsidRPr="0041496B" w:rsidRDefault="008E6919" w:rsidP="000F4B5C">
      <w:pPr>
        <w:pStyle w:val="ListParagraph"/>
        <w:numPr>
          <w:ilvl w:val="0"/>
          <w:numId w:val="9"/>
        </w:numPr>
        <w:spacing w:before="0" w:after="200" w:line="276" w:lineRule="auto"/>
        <w:rPr>
          <w:rFonts w:asciiTheme="majorHAnsi" w:hAnsiTheme="majorHAnsi"/>
        </w:rPr>
      </w:pPr>
      <w:r w:rsidRPr="0041496B">
        <w:rPr>
          <w:rFonts w:asciiTheme="majorHAnsi" w:hAnsiTheme="majorHAnsi"/>
        </w:rPr>
        <w:t xml:space="preserve">IFRC supports the development of legal and policy frameworks to integrate DRR measures into recovery efforts and enhance the resilience of affected communities. </w:t>
      </w:r>
    </w:p>
    <w:p w:rsidR="008E6919" w:rsidRPr="00292556" w:rsidRDefault="008E6919" w:rsidP="000F4B5C">
      <w:pPr>
        <w:pStyle w:val="ListParagraph"/>
        <w:numPr>
          <w:ilvl w:val="0"/>
          <w:numId w:val="9"/>
        </w:numPr>
        <w:spacing w:before="0" w:after="200" w:line="276" w:lineRule="auto"/>
        <w:rPr>
          <w:rFonts w:asciiTheme="majorHAnsi" w:hAnsiTheme="majorHAnsi"/>
        </w:rPr>
      </w:pPr>
      <w:r>
        <w:rPr>
          <w:rFonts w:asciiTheme="majorHAnsi" w:hAnsiTheme="majorHAnsi"/>
        </w:rPr>
        <w:t>The IFRC has wide global expertise in post-emergency recovery and its inclusion in both Preparedness and during implementation of response.</w:t>
      </w:r>
    </w:p>
    <w:p w:rsidR="008E6919" w:rsidRPr="0020485E" w:rsidRDefault="008E6919" w:rsidP="000F4B5C">
      <w:pPr>
        <w:pStyle w:val="ListParagraph"/>
        <w:numPr>
          <w:ilvl w:val="0"/>
          <w:numId w:val="9"/>
        </w:numPr>
        <w:spacing w:before="0" w:after="200" w:line="276" w:lineRule="auto"/>
        <w:rPr>
          <w:rFonts w:asciiTheme="majorHAnsi" w:hAnsiTheme="majorHAnsi" w:cstheme="majorHAnsi"/>
        </w:rPr>
      </w:pPr>
      <w:r w:rsidRPr="0041496B">
        <w:rPr>
          <w:rFonts w:asciiTheme="majorHAnsi" w:hAnsiTheme="majorHAnsi" w:cstheme="majorHAnsi"/>
        </w:rPr>
        <w:t xml:space="preserve">IFRC and NSs are increasingly taking gender, diversity and social inclusion agenda into consideration. Experience, guidelines and tools are available </w:t>
      </w:r>
      <w:r w:rsidRPr="00443E51">
        <w:rPr>
          <w:rFonts w:asciiTheme="majorHAnsi" w:hAnsiTheme="majorHAnsi" w:cstheme="majorHAnsi"/>
        </w:rPr>
        <w:t xml:space="preserve">through </w:t>
      </w:r>
      <w:r w:rsidRPr="00443E51">
        <w:rPr>
          <w:rFonts w:asciiTheme="majorHAnsi" w:hAnsiTheme="majorHAnsi"/>
        </w:rPr>
        <w:t xml:space="preserve">the </w:t>
      </w:r>
      <w:hyperlink r:id="rId17" w:history="1">
        <w:r w:rsidRPr="00443E51">
          <w:rPr>
            <w:rStyle w:val="Hyperlink"/>
            <w:rFonts w:asciiTheme="majorHAnsi" w:hAnsiTheme="majorHAnsi"/>
          </w:rPr>
          <w:t>Gender and Diversity resource library</w:t>
        </w:r>
      </w:hyperlink>
      <w:r w:rsidRPr="00443E51">
        <w:rPr>
          <w:rFonts w:asciiTheme="majorHAnsi" w:hAnsiTheme="majorHAnsi" w:cstheme="majorHAnsi"/>
        </w:rPr>
        <w:t>. A poo</w:t>
      </w:r>
      <w:r w:rsidRPr="0041496B">
        <w:rPr>
          <w:rFonts w:asciiTheme="majorHAnsi" w:hAnsiTheme="majorHAnsi" w:cstheme="majorHAnsi"/>
        </w:rPr>
        <w:t>l of trainers is also being strengthened since 2014.</w:t>
      </w:r>
    </w:p>
    <w:p w:rsidR="008E6919" w:rsidRPr="0020485E" w:rsidRDefault="008E6919" w:rsidP="00943328">
      <w:pPr>
        <w:pStyle w:val="Heading1"/>
      </w:pPr>
      <w:r w:rsidRPr="000A2E7A">
        <w:t>8. LEAD: ASEAN Leadership for Excellence and Innovation in Disaster Management</w:t>
      </w:r>
    </w:p>
    <w:p w:rsidR="008E6919" w:rsidRPr="00E1779B" w:rsidRDefault="008E6919" w:rsidP="000F4B5C">
      <w:pPr>
        <w:pStyle w:val="ListParagraph"/>
        <w:numPr>
          <w:ilvl w:val="0"/>
          <w:numId w:val="14"/>
        </w:numPr>
        <w:spacing w:line="276" w:lineRule="auto"/>
        <w:ind w:left="714" w:hanging="357"/>
        <w:rPr>
          <w:rFonts w:asciiTheme="majorHAnsi" w:hAnsiTheme="majorHAnsi"/>
        </w:rPr>
      </w:pPr>
      <w:r w:rsidRPr="00E1779B">
        <w:rPr>
          <w:rFonts w:asciiTheme="majorHAnsi" w:hAnsiTheme="majorHAnsi"/>
        </w:rPr>
        <w:t xml:space="preserve">ASEAN is considered a leader in the development of legal and policy frameworks for disaster risk management at the regional and national levels.  IFRC and NS have been working to support and promote this leadership.  </w:t>
      </w:r>
    </w:p>
    <w:p w:rsidR="008E6919" w:rsidRPr="00E1779B" w:rsidRDefault="008E6919" w:rsidP="000F4B5C">
      <w:pPr>
        <w:pStyle w:val="ListParagraph"/>
        <w:numPr>
          <w:ilvl w:val="0"/>
          <w:numId w:val="14"/>
        </w:numPr>
        <w:spacing w:line="276" w:lineRule="auto"/>
        <w:ind w:left="714" w:hanging="357"/>
        <w:rPr>
          <w:rFonts w:asciiTheme="majorHAnsi" w:hAnsiTheme="majorHAnsi"/>
        </w:rPr>
      </w:pPr>
      <w:r w:rsidRPr="00E1779B">
        <w:rPr>
          <w:rFonts w:asciiTheme="majorHAnsi" w:hAnsiTheme="majorHAnsi"/>
        </w:rPr>
        <w:t xml:space="preserve">The </w:t>
      </w:r>
      <w:hyperlink r:id="rId18" w:history="1">
        <w:r w:rsidRPr="00E1779B">
          <w:rPr>
            <w:rStyle w:val="Hyperlink"/>
            <w:rFonts w:asciiTheme="majorHAnsi" w:hAnsiTheme="majorHAnsi"/>
          </w:rPr>
          <w:t>online library</w:t>
        </w:r>
      </w:hyperlink>
      <w:r w:rsidRPr="00E1779B">
        <w:rPr>
          <w:rFonts w:asciiTheme="majorHAnsi" w:hAnsiTheme="majorHAnsi"/>
        </w:rPr>
        <w:t xml:space="preserve"> is updated regularly and open to all partners. </w:t>
      </w:r>
    </w:p>
    <w:p w:rsidR="008E6919" w:rsidRPr="00E1779B" w:rsidRDefault="008E6919" w:rsidP="000F4B5C">
      <w:pPr>
        <w:pStyle w:val="ListParagraph"/>
        <w:numPr>
          <w:ilvl w:val="0"/>
          <w:numId w:val="14"/>
        </w:numPr>
        <w:spacing w:line="276" w:lineRule="auto"/>
        <w:ind w:left="714" w:hanging="357"/>
        <w:rPr>
          <w:rFonts w:asciiTheme="majorHAnsi" w:hAnsiTheme="majorHAnsi"/>
        </w:rPr>
      </w:pPr>
      <w:r w:rsidRPr="00E1779B">
        <w:rPr>
          <w:rFonts w:asciiTheme="majorHAnsi" w:hAnsiTheme="majorHAnsi"/>
        </w:rPr>
        <w:t xml:space="preserve">Participation in the ACE </w:t>
      </w:r>
      <w:proofErr w:type="spellStart"/>
      <w:r w:rsidRPr="00E1779B">
        <w:rPr>
          <w:rFonts w:asciiTheme="majorHAnsi" w:hAnsiTheme="majorHAnsi"/>
        </w:rPr>
        <w:t>Programme</w:t>
      </w:r>
      <w:proofErr w:type="spellEnd"/>
      <w:r w:rsidRPr="00E1779B">
        <w:rPr>
          <w:rFonts w:asciiTheme="majorHAnsi" w:hAnsiTheme="majorHAnsi"/>
        </w:rPr>
        <w:t xml:space="preserve">: </w:t>
      </w:r>
      <w:hyperlink r:id="rId19" w:history="1">
        <w:r w:rsidRPr="00E1779B">
          <w:rPr>
            <w:rStyle w:val="Hyperlink"/>
            <w:rFonts w:asciiTheme="majorHAnsi" w:hAnsiTheme="majorHAnsi"/>
          </w:rPr>
          <w:t>Red Cross Red Crescent Induction training</w:t>
        </w:r>
      </w:hyperlink>
      <w:r w:rsidRPr="00E1779B">
        <w:rPr>
          <w:rFonts w:asciiTheme="majorHAnsi" w:hAnsiTheme="majorHAnsi"/>
        </w:rPr>
        <w:t>, visit to community-based activities and peer to peer learning with National Society members, are opportunities to share knowledge and skills among ASEAN stakeholders.</w:t>
      </w:r>
    </w:p>
    <w:p w:rsidR="008E6919" w:rsidRDefault="008E6919" w:rsidP="0020485E">
      <w:pPr>
        <w:pStyle w:val="Projectsubtitle"/>
        <w:rPr>
          <w:rFonts w:ascii="TimesNewRomanPS-BoldMT" w:hAnsi="TimesNewRomanPS-BoldMT" w:cs="TimesNewRomanPS-BoldMT"/>
          <w:b/>
          <w:bCs/>
          <w:color w:val="FFFFFF"/>
          <w:sz w:val="20"/>
          <w:szCs w:val="20"/>
          <w:lang w:val="en-GB"/>
        </w:rPr>
      </w:pPr>
      <w:r w:rsidRPr="00EE76BB">
        <w:rPr>
          <w:rFonts w:ascii="TimesNewRomanPS-BoldMT" w:hAnsi="TimesNewRomanPS-BoldMT" w:cs="TimesNewRomanPS-BoldMT"/>
          <w:b/>
          <w:bCs/>
          <w:color w:val="FFFFFF"/>
          <w:sz w:val="20"/>
          <w:szCs w:val="20"/>
          <w:lang w:val="en-GB"/>
        </w:rPr>
        <w:t>Par</w:t>
      </w:r>
    </w:p>
    <w:p w:rsidR="008E6919" w:rsidRPr="008E6919" w:rsidRDefault="008E6919" w:rsidP="0020485E">
      <w:pPr>
        <w:spacing w:before="0" w:after="200" w:line="276" w:lineRule="auto"/>
        <w:rPr>
          <w:rFonts w:asciiTheme="majorHAnsi" w:hAnsiTheme="majorHAnsi"/>
        </w:rPr>
      </w:pPr>
    </w:p>
    <w:p w:rsidR="008E6919" w:rsidRPr="008E6919" w:rsidRDefault="008E6919" w:rsidP="0020485E">
      <w:pPr>
        <w:spacing w:before="0" w:after="200" w:line="276" w:lineRule="auto"/>
        <w:rPr>
          <w:rFonts w:asciiTheme="majorHAnsi" w:hAnsiTheme="majorHAnsi" w:cs="Arial"/>
        </w:rPr>
      </w:pPr>
    </w:p>
    <w:p w:rsidR="007F3AA0" w:rsidRPr="008E6919" w:rsidRDefault="007F3AA0" w:rsidP="0020485E">
      <w:pPr>
        <w:pStyle w:val="Listbulleted1"/>
        <w:numPr>
          <w:ilvl w:val="0"/>
          <w:numId w:val="0"/>
        </w:numPr>
        <w:rPr>
          <w:rFonts w:asciiTheme="majorHAnsi" w:hAnsiTheme="majorHAnsi" w:cs="Arial"/>
          <w:color w:val="808080" w:themeColor="background1" w:themeShade="80"/>
          <w:lang w:val="en-GB" w:eastAsia="en-GB"/>
        </w:rPr>
      </w:pPr>
    </w:p>
    <w:p w:rsidR="00B868A8" w:rsidRPr="008E6919" w:rsidRDefault="00B868A8" w:rsidP="0020485E">
      <w:pPr>
        <w:rPr>
          <w:rFonts w:asciiTheme="majorHAnsi" w:eastAsiaTheme="minorHAnsi" w:hAnsiTheme="majorHAnsi" w:cs="Calibri"/>
          <w:sz w:val="24"/>
        </w:rPr>
      </w:pPr>
    </w:p>
    <w:p w:rsidR="009C261F" w:rsidRDefault="009C261F" w:rsidP="0020485E">
      <w:pPr>
        <w:spacing w:before="0"/>
        <w:rPr>
          <w:rStyle w:val="Heading4Char"/>
          <w:rFonts w:asciiTheme="majorHAnsi" w:eastAsiaTheme="minorHAnsi" w:hAnsiTheme="majorHAnsi" w:cs="Calibri"/>
          <w:sz w:val="24"/>
        </w:rPr>
      </w:pPr>
    </w:p>
    <w:p w:rsidR="0014656F" w:rsidRDefault="0014656F" w:rsidP="0020485E">
      <w:pPr>
        <w:spacing w:before="0"/>
        <w:rPr>
          <w:rStyle w:val="Heading4Char"/>
          <w:rFonts w:asciiTheme="majorHAnsi" w:eastAsiaTheme="minorHAnsi" w:hAnsiTheme="majorHAnsi" w:cs="Calibri"/>
          <w:sz w:val="24"/>
        </w:rPr>
      </w:pPr>
    </w:p>
    <w:p w:rsidR="0014656F" w:rsidRDefault="0014656F" w:rsidP="0020485E">
      <w:pPr>
        <w:spacing w:before="0"/>
        <w:rPr>
          <w:rStyle w:val="Heading4Char"/>
          <w:rFonts w:asciiTheme="majorHAnsi" w:eastAsiaTheme="minorHAnsi" w:hAnsiTheme="majorHAnsi" w:cs="Calibri"/>
          <w:sz w:val="24"/>
        </w:rPr>
      </w:pPr>
    </w:p>
    <w:p w:rsidR="0014656F" w:rsidRDefault="0014656F" w:rsidP="0020485E">
      <w:pPr>
        <w:spacing w:before="0"/>
        <w:rPr>
          <w:rStyle w:val="Heading4Char"/>
          <w:rFonts w:asciiTheme="majorHAnsi" w:eastAsiaTheme="minorHAnsi" w:hAnsiTheme="majorHAnsi" w:cs="Calibri"/>
          <w:sz w:val="24"/>
        </w:rPr>
      </w:pPr>
    </w:p>
    <w:p w:rsidR="0014656F" w:rsidRDefault="0014656F" w:rsidP="0020485E">
      <w:pPr>
        <w:spacing w:before="0"/>
        <w:rPr>
          <w:rStyle w:val="Heading4Char"/>
          <w:rFonts w:asciiTheme="majorHAnsi" w:eastAsiaTheme="minorHAnsi" w:hAnsiTheme="majorHAnsi" w:cs="Calibri"/>
          <w:sz w:val="24"/>
        </w:rPr>
      </w:pPr>
    </w:p>
    <w:p w:rsidR="0014656F" w:rsidRDefault="0014656F" w:rsidP="0020485E">
      <w:pPr>
        <w:spacing w:before="0"/>
        <w:rPr>
          <w:rStyle w:val="Heading4Char"/>
          <w:rFonts w:asciiTheme="majorHAnsi" w:eastAsiaTheme="minorHAnsi" w:hAnsiTheme="majorHAnsi" w:cs="Calibri"/>
          <w:sz w:val="24"/>
        </w:rPr>
      </w:pPr>
    </w:p>
    <w:p w:rsidR="005E5D8E" w:rsidRPr="008E6919" w:rsidRDefault="005E5D8E" w:rsidP="0020485E">
      <w:pPr>
        <w:spacing w:before="0"/>
        <w:rPr>
          <w:rStyle w:val="Heading4Char"/>
          <w:rFonts w:asciiTheme="majorHAnsi" w:eastAsiaTheme="minorHAnsi" w:hAnsiTheme="majorHAnsi" w:cs="Calibri"/>
          <w:sz w:val="24"/>
        </w:rPr>
      </w:pPr>
    </w:p>
    <w:sectPr w:rsidR="005E5D8E" w:rsidRPr="008E6919" w:rsidSect="00EA4BEA">
      <w:headerReference w:type="default" r:id="rId20"/>
      <w:footerReference w:type="default" r:id="rId21"/>
      <w:footerReference w:type="first" r:id="rId22"/>
      <w:footnotePr>
        <w:pos w:val="beneathText"/>
      </w:footnotePr>
      <w:pgSz w:w="11900" w:h="16840"/>
      <w:pgMar w:top="567" w:right="1134" w:bottom="1890" w:left="1134" w:header="567" w:footer="567"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09F1" w:rsidRDefault="000C09F1">
      <w:r>
        <w:separator/>
      </w:r>
    </w:p>
    <w:p w:rsidR="000C09F1" w:rsidRDefault="000C09F1"/>
    <w:p w:rsidR="000C09F1" w:rsidRDefault="000C09F1"/>
  </w:endnote>
  <w:endnote w:type="continuationSeparator" w:id="0">
    <w:p w:rsidR="000C09F1" w:rsidRDefault="000C09F1">
      <w:r>
        <w:continuationSeparator/>
      </w:r>
    </w:p>
    <w:p w:rsidR="000C09F1" w:rsidRDefault="000C09F1"/>
    <w:p w:rsidR="000C09F1" w:rsidRDefault="000C09F1"/>
  </w:endnote>
  <w:endnote w:id="1">
    <w:p w:rsidR="0014656F" w:rsidRPr="0014656F" w:rsidRDefault="0014656F">
      <w:pPr>
        <w:pStyle w:val="EndnoteText"/>
        <w:rPr>
          <w:lang w:val="en-GB"/>
        </w:rPr>
      </w:pPr>
      <w:r w:rsidRPr="0014656F">
        <w:rPr>
          <w:rStyle w:val="EndnoteReference"/>
        </w:rPr>
        <w:endnoteRef/>
      </w:r>
      <w:r w:rsidRPr="0014656F">
        <w:t xml:space="preserve"> </w:t>
      </w:r>
      <w:r w:rsidRPr="0014656F">
        <w:rPr>
          <w:rFonts w:asciiTheme="majorHAnsi" w:hAnsiTheme="majorHAnsi"/>
        </w:rPr>
        <w:t>With one person trained in first aid in each family in the years to come.</w:t>
      </w:r>
    </w:p>
  </w:endnote>
  <w:endnote w:id="2">
    <w:p w:rsidR="0014656F" w:rsidRPr="0014656F" w:rsidRDefault="0014656F">
      <w:pPr>
        <w:pStyle w:val="EndnoteText"/>
        <w:rPr>
          <w:lang w:val="en-GB"/>
        </w:rPr>
      </w:pPr>
      <w:r w:rsidRPr="0014656F">
        <w:rPr>
          <w:rStyle w:val="EndnoteReference"/>
        </w:rPr>
        <w:endnoteRef/>
      </w:r>
      <w:r w:rsidRPr="0014656F">
        <w:t xml:space="preserve"> </w:t>
      </w:r>
      <w:r w:rsidRPr="0014656F">
        <w:rPr>
          <w:rFonts w:asciiTheme="majorHAnsi" w:hAnsiTheme="majorHAnsi"/>
        </w:rPr>
        <w:t xml:space="preserve">These include the annual Leadership meeting, the Community Safety and Resilience </w:t>
      </w:r>
      <w:hyperlink r:id="rId1" w:history="1">
        <w:r w:rsidRPr="0014656F">
          <w:rPr>
            <w:rStyle w:val="Hyperlink"/>
            <w:rFonts w:asciiTheme="majorHAnsi" w:hAnsiTheme="majorHAnsi"/>
          </w:rPr>
          <w:t>Forum</w:t>
        </w:r>
      </w:hyperlink>
      <w:r w:rsidRPr="0014656F">
        <w:rPr>
          <w:rFonts w:asciiTheme="majorHAnsi" w:hAnsiTheme="majorHAnsi"/>
        </w:rPr>
        <w:t xml:space="preserve">, the Gender and Diversity </w:t>
      </w:r>
      <w:hyperlink r:id="rId2" w:history="1">
        <w:r w:rsidRPr="0014656F">
          <w:rPr>
            <w:rStyle w:val="Hyperlink"/>
            <w:rFonts w:asciiTheme="majorHAnsi" w:hAnsiTheme="majorHAnsi"/>
          </w:rPr>
          <w:t>Network</w:t>
        </w:r>
      </w:hyperlink>
      <w:r w:rsidRPr="0014656F">
        <w:rPr>
          <w:rFonts w:asciiTheme="majorHAnsi" w:hAnsiTheme="majorHAnsi"/>
        </w:rPr>
        <w:t xml:space="preserve"> and the SEA Youth Network (</w:t>
      </w:r>
      <w:hyperlink r:id="rId3" w:history="1">
        <w:r w:rsidRPr="0014656F">
          <w:rPr>
            <w:rStyle w:val="Hyperlink"/>
            <w:rFonts w:asciiTheme="majorHAnsi" w:hAnsiTheme="majorHAnsi"/>
          </w:rPr>
          <w:t>SEAYN</w:t>
        </w:r>
      </w:hyperlink>
      <w:r w:rsidRPr="0014656F">
        <w:rPr>
          <w:rFonts w:asciiTheme="majorHAnsi" w:hAnsiTheme="majorHAnsi"/>
        </w:rPr>
        <w:t>). The establishment of other technical networks is under discussion among National Societies and IFRC.</w:t>
      </w:r>
    </w:p>
  </w:endnote>
  <w:endnote w:id="3">
    <w:p w:rsidR="0014656F" w:rsidRPr="0014656F" w:rsidRDefault="0014656F">
      <w:pPr>
        <w:pStyle w:val="EndnoteText"/>
        <w:rPr>
          <w:lang w:val="en-GB"/>
        </w:rPr>
      </w:pPr>
      <w:r w:rsidRPr="0014656F">
        <w:rPr>
          <w:rStyle w:val="EndnoteReference"/>
        </w:rPr>
        <w:endnoteRef/>
      </w:r>
      <w:r w:rsidRPr="0014656F">
        <w:t xml:space="preserve"> </w:t>
      </w:r>
      <w:r w:rsidRPr="0014656F">
        <w:rPr>
          <w:rFonts w:asciiTheme="majorHAnsi" w:hAnsiTheme="majorHAnsi"/>
        </w:rPr>
        <w:t xml:space="preserve">Youth as Agents of </w:t>
      </w:r>
      <w:proofErr w:type="spellStart"/>
      <w:r w:rsidRPr="0014656F">
        <w:rPr>
          <w:rFonts w:asciiTheme="majorHAnsi" w:hAnsiTheme="majorHAnsi"/>
        </w:rPr>
        <w:t>Behavioural</w:t>
      </w:r>
      <w:proofErr w:type="spellEnd"/>
      <w:r w:rsidRPr="0014656F">
        <w:rPr>
          <w:rFonts w:asciiTheme="majorHAnsi" w:hAnsiTheme="majorHAnsi"/>
        </w:rPr>
        <w:t xml:space="preserve"> Change (</w:t>
      </w:r>
      <w:proofErr w:type="gramStart"/>
      <w:r w:rsidRPr="0014656F">
        <w:rPr>
          <w:rFonts w:asciiTheme="majorHAnsi" w:hAnsiTheme="majorHAnsi"/>
        </w:rPr>
        <w:t>YABC)  is</w:t>
      </w:r>
      <w:proofErr w:type="gramEnd"/>
      <w:r w:rsidRPr="0014656F">
        <w:rPr>
          <w:rFonts w:asciiTheme="majorHAnsi" w:hAnsiTheme="majorHAnsi"/>
        </w:rPr>
        <w:t xml:space="preserve"> the IFRCs flagship initiative on the promotion of a culture of non-violence and peace. Created in 2008, this </w:t>
      </w:r>
      <w:proofErr w:type="spellStart"/>
      <w:r w:rsidRPr="0014656F">
        <w:rPr>
          <w:rFonts w:asciiTheme="majorHAnsi" w:hAnsiTheme="majorHAnsi"/>
        </w:rPr>
        <w:t>programme</w:t>
      </w:r>
      <w:proofErr w:type="spellEnd"/>
      <w:r w:rsidRPr="0014656F">
        <w:rPr>
          <w:rFonts w:asciiTheme="majorHAnsi" w:hAnsiTheme="majorHAnsi"/>
        </w:rPr>
        <w:t xml:space="preserve"> seeks to empower individuals to take up an ethical leadership role in their community. For more information, visit the </w:t>
      </w:r>
      <w:hyperlink r:id="rId4" w:history="1">
        <w:r w:rsidRPr="0014656F">
          <w:rPr>
            <w:rStyle w:val="Hyperlink"/>
            <w:rFonts w:asciiTheme="majorHAnsi" w:hAnsiTheme="majorHAnsi"/>
          </w:rPr>
          <w:t>webpage</w:t>
        </w:r>
      </w:hyperlink>
      <w:r w:rsidRPr="0014656F">
        <w:rPr>
          <w:rFonts w:asciiTheme="majorHAnsi" w:hAnsiTheme="majorHAnsi"/>
        </w:rPr>
        <w:t>.</w:t>
      </w:r>
    </w:p>
  </w:endnote>
  <w:endnote w:id="4">
    <w:p w:rsidR="0014656F" w:rsidRPr="0014656F" w:rsidRDefault="0014656F">
      <w:pPr>
        <w:pStyle w:val="EndnoteText"/>
        <w:rPr>
          <w:lang w:val="en-GB"/>
        </w:rPr>
      </w:pPr>
      <w:r w:rsidRPr="0014656F">
        <w:rPr>
          <w:rStyle w:val="EndnoteReference"/>
        </w:rPr>
        <w:endnoteRef/>
      </w:r>
      <w:r w:rsidRPr="0014656F">
        <w:t xml:space="preserve"> </w:t>
      </w:r>
      <w:r w:rsidRPr="0014656F">
        <w:rPr>
          <w:rFonts w:asciiTheme="majorHAnsi" w:hAnsiTheme="majorHAnsi"/>
        </w:rPr>
        <w:t>With the 1BC, the IFRC aims at reaching one billion people by 2015 and make them more resilient.</w:t>
      </w:r>
      <w:r w:rsidRPr="00EE76BB">
        <w:rPr>
          <w:rFonts w:asciiTheme="majorHAnsi" w:hAnsiTheme="majorHAnsi"/>
          <w:sz w:val="16"/>
          <w:szCs w:val="16"/>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auto"/>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Times-Roman">
    <w:altName w:val="Times New Roman"/>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NewRomanPS-BoldMT">
    <w:panose1 w:val="00000000000000000000"/>
    <w:charset w:val="00"/>
    <w:family w:val="swiss"/>
    <w:notTrueType/>
    <w:pitch w:val="default"/>
    <w:sig w:usb0="00000003" w:usb1="00000000" w:usb2="00000000" w:usb3="00000000" w:csb0="00000001" w:csb1="00000000"/>
  </w:font>
  <w:font w:name="Caecilia-Light">
    <w:altName w:val="Caecilia Light"/>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1D9D" w:rsidRDefault="00EA4BEA">
    <w:pPr>
      <w:pStyle w:val="Footer"/>
    </w:pPr>
    <w:r>
      <w:rPr>
        <w:noProof/>
        <w:lang w:val="en-GB" w:eastAsia="en-GB"/>
      </w:rPr>
      <w:drawing>
        <wp:anchor distT="0" distB="0" distL="114300" distR="114300" simplePos="0" relativeHeight="251660288" behindDoc="0" locked="1" layoutInCell="1" allowOverlap="1" wp14:anchorId="0A4CD2E5" wp14:editId="40435AA8">
          <wp:simplePos x="0" y="0"/>
          <wp:positionH relativeFrom="margin">
            <wp:align>right</wp:align>
          </wp:positionH>
          <wp:positionV relativeFrom="paragraph">
            <wp:posOffset>-247650</wp:posOffset>
          </wp:positionV>
          <wp:extent cx="6116320" cy="464185"/>
          <wp:effectExtent l="0" t="0" r="0" b="0"/>
          <wp:wrapNone/>
          <wp:docPr id="4"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FRC-tagline-logo-EN-2011-LR.jpg"/>
                  <pic:cNvPicPr/>
                </pic:nvPicPr>
                <pic:blipFill>
                  <a:blip r:embed="rId1">
                    <a:extLst>
                      <a:ext uri="{28A0092B-C50C-407E-A947-70E740481C1C}">
                        <a14:useLocalDpi xmlns:a14="http://schemas.microsoft.com/office/drawing/2010/main" val="0"/>
                      </a:ext>
                    </a:extLst>
                  </a:blip>
                  <a:stretch>
                    <a:fillRect/>
                  </a:stretch>
                </pic:blipFill>
                <pic:spPr>
                  <a:xfrm>
                    <a:off x="0" y="0"/>
                    <a:ext cx="6116320" cy="464185"/>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1D9D" w:rsidRDefault="00EA4BEA">
    <w:pPr>
      <w:pStyle w:val="Footer"/>
    </w:pPr>
    <w:r>
      <w:rPr>
        <w:noProof/>
        <w:lang w:val="en-GB" w:eastAsia="en-GB"/>
      </w:rPr>
      <w:drawing>
        <wp:anchor distT="0" distB="0" distL="114300" distR="114300" simplePos="0" relativeHeight="251662336" behindDoc="0" locked="1" layoutInCell="1" allowOverlap="1" wp14:anchorId="0A4CD2E5" wp14:editId="40435AA8">
          <wp:simplePos x="0" y="0"/>
          <wp:positionH relativeFrom="column">
            <wp:posOffset>0</wp:posOffset>
          </wp:positionH>
          <wp:positionV relativeFrom="paragraph">
            <wp:posOffset>-247650</wp:posOffset>
          </wp:positionV>
          <wp:extent cx="6116320" cy="464185"/>
          <wp:effectExtent l="0" t="0" r="0" b="0"/>
          <wp:wrapNone/>
          <wp:docPr id="5"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FRC-tagline-logo-EN-2011-LR.jpg"/>
                  <pic:cNvPicPr/>
                </pic:nvPicPr>
                <pic:blipFill>
                  <a:blip r:embed="rId1">
                    <a:extLst>
                      <a:ext uri="{28A0092B-C50C-407E-A947-70E740481C1C}">
                        <a14:useLocalDpi xmlns:a14="http://schemas.microsoft.com/office/drawing/2010/main" val="0"/>
                      </a:ext>
                    </a:extLst>
                  </a:blip>
                  <a:stretch>
                    <a:fillRect/>
                  </a:stretch>
                </pic:blipFill>
                <pic:spPr>
                  <a:xfrm>
                    <a:off x="0" y="0"/>
                    <a:ext cx="6116320" cy="46418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09F1" w:rsidRDefault="000C09F1">
      <w:r>
        <w:separator/>
      </w:r>
    </w:p>
    <w:p w:rsidR="000C09F1" w:rsidRDefault="000C09F1"/>
    <w:p w:rsidR="000C09F1" w:rsidRDefault="000C09F1"/>
  </w:footnote>
  <w:footnote w:type="continuationSeparator" w:id="0">
    <w:p w:rsidR="000C09F1" w:rsidRDefault="000C09F1">
      <w:r>
        <w:continuationSeparator/>
      </w:r>
    </w:p>
    <w:p w:rsidR="000C09F1" w:rsidRDefault="000C09F1"/>
    <w:p w:rsidR="000C09F1" w:rsidRDefault="000C09F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1D9D" w:rsidRPr="00895C69" w:rsidRDefault="00F94139" w:rsidP="00005966">
    <w:pPr>
      <w:pStyle w:val="BasicParagraph"/>
      <w:pBdr>
        <w:bottom w:val="single" w:sz="6" w:space="1" w:color="auto"/>
      </w:pBdr>
      <w:ind w:right="-96"/>
      <w:rPr>
        <w:rFonts w:ascii="Arial" w:hAnsi="Arial"/>
        <w:sz w:val="16"/>
      </w:rPr>
    </w:pPr>
    <w:r w:rsidRPr="00895C69">
      <w:rPr>
        <w:rFonts w:ascii="Arial" w:hAnsi="Arial" w:cs="Caecilia-Light"/>
        <w:color w:val="FF0000"/>
        <w:sz w:val="16"/>
        <w:szCs w:val="14"/>
        <w:lang w:val="en-US"/>
      </w:rPr>
      <w:t>International Federation of Red Cross and Red Crescent Societies</w:t>
    </w:r>
    <w:r w:rsidRPr="00895C69">
      <w:rPr>
        <w:rFonts w:ascii="Arial" w:hAnsi="Arial" w:cs="Caecilia-Light"/>
        <w:color w:val="FF0000"/>
        <w:sz w:val="16"/>
        <w:szCs w:val="14"/>
        <w:lang w:val="en-US"/>
      </w:rPr>
      <w:br/>
    </w:r>
    <w:r w:rsidR="002942E3" w:rsidRPr="00895C69">
      <w:rPr>
        <w:rStyle w:val="PageNumber"/>
        <w:rFonts w:ascii="Arial" w:hAnsi="Arial" w:cs="Arial"/>
        <w:b/>
        <w:bCs/>
        <w:sz w:val="16"/>
        <w:szCs w:val="16"/>
      </w:rPr>
      <w:fldChar w:fldCharType="begin"/>
    </w:r>
    <w:r w:rsidRPr="00895C69">
      <w:rPr>
        <w:rStyle w:val="PageNumber"/>
        <w:rFonts w:ascii="Arial" w:hAnsi="Arial" w:cs="Arial"/>
        <w:b/>
        <w:bCs/>
        <w:sz w:val="16"/>
        <w:szCs w:val="16"/>
      </w:rPr>
      <w:instrText xml:space="preserve"> PAGE </w:instrText>
    </w:r>
    <w:r w:rsidR="002942E3" w:rsidRPr="00895C69">
      <w:rPr>
        <w:rStyle w:val="PageNumber"/>
        <w:rFonts w:ascii="Arial" w:hAnsi="Arial" w:cs="Arial"/>
        <w:b/>
        <w:bCs/>
        <w:sz w:val="16"/>
        <w:szCs w:val="16"/>
      </w:rPr>
      <w:fldChar w:fldCharType="separate"/>
    </w:r>
    <w:r w:rsidR="00943328">
      <w:rPr>
        <w:rStyle w:val="PageNumber"/>
        <w:rFonts w:ascii="Arial" w:hAnsi="Arial" w:cs="Arial"/>
        <w:b/>
        <w:bCs/>
        <w:noProof/>
        <w:sz w:val="16"/>
        <w:szCs w:val="16"/>
      </w:rPr>
      <w:t>4</w:t>
    </w:r>
    <w:r w:rsidR="002942E3" w:rsidRPr="00895C69">
      <w:rPr>
        <w:rStyle w:val="PageNumber"/>
        <w:rFonts w:ascii="Arial" w:hAnsi="Arial" w:cs="Arial"/>
        <w:b/>
        <w:bCs/>
        <w:sz w:val="16"/>
        <w:szCs w:val="16"/>
      </w:rPr>
      <w:fldChar w:fldCharType="end"/>
    </w:r>
    <w:r w:rsidRPr="00895C69">
      <w:rPr>
        <w:rStyle w:val="PageNumber"/>
        <w:rFonts w:ascii="Arial" w:hAnsi="Arial" w:cs="Arial"/>
        <w:b/>
        <w:bCs/>
        <w:sz w:val="16"/>
        <w:szCs w:val="16"/>
      </w:rPr>
      <w:t xml:space="preserve"> </w:t>
    </w:r>
    <w:r w:rsidRPr="00895C69">
      <w:rPr>
        <w:rStyle w:val="PageNumber"/>
        <w:rFonts w:ascii="Arial" w:hAnsi="Arial" w:cs="Arial"/>
        <w:b/>
        <w:bCs/>
        <w:color w:val="FF0000"/>
        <w:sz w:val="16"/>
        <w:szCs w:val="16"/>
      </w:rPr>
      <w:t>I</w:t>
    </w:r>
    <w:r w:rsidRPr="00895C69">
      <w:rPr>
        <w:rStyle w:val="PageNumber"/>
        <w:rFonts w:ascii="Arial" w:hAnsi="Arial" w:cs="Arial"/>
        <w:color w:val="FF0000"/>
        <w:sz w:val="16"/>
        <w:szCs w:val="16"/>
      </w:rPr>
      <w:t xml:space="preserve"> </w:t>
    </w:r>
    <w:r w:rsidR="00471925" w:rsidRPr="00471925">
      <w:rPr>
        <w:rFonts w:ascii="Arial" w:hAnsi="Arial"/>
        <w:b/>
        <w:sz w:val="16"/>
      </w:rPr>
      <w:t>Contributions to</w:t>
    </w:r>
    <w:r w:rsidR="00943328">
      <w:rPr>
        <w:rFonts w:ascii="Arial" w:hAnsi="Arial"/>
        <w:b/>
        <w:sz w:val="16"/>
      </w:rPr>
      <w:t xml:space="preserve"> the AADMER work programme 2016</w:t>
    </w:r>
    <w:r w:rsidR="00943328" w:rsidRPr="00943328">
      <w:rPr>
        <w:rFonts w:asciiTheme="majorHAnsi" w:hAnsiTheme="majorHAnsi" w:cs="TimesNewRomanPS-BoldMT"/>
        <w:bCs/>
        <w:i/>
        <w:szCs w:val="22"/>
        <w:lang w:val="en-US"/>
      </w:rPr>
      <w:t>–</w:t>
    </w:r>
    <w:r w:rsidR="00471925" w:rsidRPr="00471925">
      <w:rPr>
        <w:rFonts w:ascii="Arial" w:hAnsi="Arial"/>
        <w:b/>
        <w:sz w:val="16"/>
      </w:rPr>
      <w:t>2020</w:t>
    </w:r>
    <w:r w:rsidR="00471925">
      <w:rPr>
        <w:rFonts w:ascii="Arial" w:hAnsi="Arial"/>
        <w:b/>
        <w:sz w:val="16"/>
      </w:rPr>
      <w:t xml:space="preserve"> </w:t>
    </w:r>
    <w:r>
      <w:rPr>
        <w:rFonts w:ascii="Arial" w:hAnsi="Arial"/>
        <w:b/>
        <w:sz w:val="16"/>
      </w:rPr>
      <w:t xml:space="preserve">/ </w:t>
    </w:r>
    <w:r w:rsidR="00471925">
      <w:rPr>
        <w:rFonts w:ascii="Arial" w:hAnsi="Arial"/>
        <w:b/>
        <w:color w:val="FF0000"/>
        <w:sz w:val="16"/>
      </w:rPr>
      <w:t>Country Cluster Support Team</w:t>
    </w:r>
    <w:r>
      <w:rPr>
        <w:rFonts w:ascii="Arial" w:hAnsi="Arial"/>
        <w:b/>
        <w:sz w:val="16"/>
      </w:rPr>
      <w:t xml:space="preserve"> / </w:t>
    </w:r>
    <w:r w:rsidR="00471925">
      <w:rPr>
        <w:rFonts w:ascii="Arial" w:hAnsi="Arial"/>
        <w:b/>
        <w:color w:val="7F7F7F"/>
        <w:sz w:val="16"/>
      </w:rPr>
      <w:t>September</w:t>
    </w:r>
    <w:r w:rsidR="00D85C7C">
      <w:rPr>
        <w:rFonts w:ascii="Arial" w:hAnsi="Arial"/>
        <w:b/>
        <w:color w:val="7F7F7F"/>
        <w:sz w:val="16"/>
      </w:rPr>
      <w:t xml:space="preserve"> 2016</w:t>
    </w:r>
  </w:p>
  <w:p w:rsidR="00E91D9D" w:rsidRDefault="000C09F1" w:rsidP="00E91D9D"/>
  <w:p w:rsidR="00E91D9D" w:rsidRDefault="000C09F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6496E"/>
    <w:multiLevelType w:val="hybridMultilevel"/>
    <w:tmpl w:val="76040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8615C3"/>
    <w:multiLevelType w:val="hybridMultilevel"/>
    <w:tmpl w:val="2640B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1E5A85"/>
    <w:multiLevelType w:val="hybridMultilevel"/>
    <w:tmpl w:val="D1623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8F1A81"/>
    <w:multiLevelType w:val="hybridMultilevel"/>
    <w:tmpl w:val="918E9B40"/>
    <w:lvl w:ilvl="0" w:tplc="513AACB0">
      <w:start w:val="1"/>
      <w:numFmt w:val="bullet"/>
      <w:pStyle w:val="Listbulleted2"/>
      <w:lvlText w:val=""/>
      <w:lvlJc w:val="left"/>
      <w:pPr>
        <w:ind w:left="1440" w:hanging="360"/>
      </w:pPr>
      <w:rPr>
        <w:rFonts w:ascii="Wingdings" w:hAnsi="Wingdings" w:hint="default"/>
      </w:rPr>
    </w:lvl>
    <w:lvl w:ilvl="1" w:tplc="CD6427DA">
      <w:start w:val="1"/>
      <w:numFmt w:val="bullet"/>
      <w:pStyle w:val="Listbulleted2"/>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10334F"/>
    <w:multiLevelType w:val="hybridMultilevel"/>
    <w:tmpl w:val="34B21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6B2A4B"/>
    <w:multiLevelType w:val="hybridMultilevel"/>
    <w:tmpl w:val="503C8C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F41752"/>
    <w:multiLevelType w:val="hybridMultilevel"/>
    <w:tmpl w:val="D81A1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BF2C28"/>
    <w:multiLevelType w:val="hybridMultilevel"/>
    <w:tmpl w:val="4F10AD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0280028"/>
    <w:multiLevelType w:val="hybridMultilevel"/>
    <w:tmpl w:val="64987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35F3394"/>
    <w:multiLevelType w:val="hybridMultilevel"/>
    <w:tmpl w:val="E3DC3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7E47BA3"/>
    <w:multiLevelType w:val="hybridMultilevel"/>
    <w:tmpl w:val="BCD01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8D63032"/>
    <w:multiLevelType w:val="hybridMultilevel"/>
    <w:tmpl w:val="4A8C57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F6D013F"/>
    <w:multiLevelType w:val="hybridMultilevel"/>
    <w:tmpl w:val="0CA22184"/>
    <w:lvl w:ilvl="0" w:tplc="DC4AB840">
      <w:start w:val="1"/>
      <w:numFmt w:val="bullet"/>
      <w:pStyle w:val="Listbulleted1"/>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FB649F9"/>
    <w:multiLevelType w:val="hybridMultilevel"/>
    <w:tmpl w:val="29C84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3"/>
  </w:num>
  <w:num w:numId="3">
    <w:abstractNumId w:val="0"/>
  </w:num>
  <w:num w:numId="4">
    <w:abstractNumId w:val="11"/>
  </w:num>
  <w:num w:numId="5">
    <w:abstractNumId w:val="6"/>
  </w:num>
  <w:num w:numId="6">
    <w:abstractNumId w:val="8"/>
  </w:num>
  <w:num w:numId="7">
    <w:abstractNumId w:val="10"/>
  </w:num>
  <w:num w:numId="8">
    <w:abstractNumId w:val="13"/>
  </w:num>
  <w:num w:numId="9">
    <w:abstractNumId w:val="4"/>
  </w:num>
  <w:num w:numId="10">
    <w:abstractNumId w:val="9"/>
  </w:num>
  <w:num w:numId="11">
    <w:abstractNumId w:val="7"/>
  </w:num>
  <w:num w:numId="12">
    <w:abstractNumId w:val="1"/>
  </w:num>
  <w:num w:numId="13">
    <w:abstractNumId w:val="5"/>
  </w:num>
  <w:num w:numId="14">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pos w:val="beneathText"/>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5556"/>
    <w:rsid w:val="00004B78"/>
    <w:rsid w:val="00005966"/>
    <w:rsid w:val="00042BCA"/>
    <w:rsid w:val="00050231"/>
    <w:rsid w:val="00062A82"/>
    <w:rsid w:val="000B7265"/>
    <w:rsid w:val="000C09F1"/>
    <w:rsid w:val="000D151A"/>
    <w:rsid w:val="000F4B5C"/>
    <w:rsid w:val="00102F65"/>
    <w:rsid w:val="001052BD"/>
    <w:rsid w:val="001065D0"/>
    <w:rsid w:val="001415BF"/>
    <w:rsid w:val="00143B93"/>
    <w:rsid w:val="0014656F"/>
    <w:rsid w:val="001D5F7B"/>
    <w:rsid w:val="001F7179"/>
    <w:rsid w:val="002000F8"/>
    <w:rsid w:val="0020485E"/>
    <w:rsid w:val="002723AE"/>
    <w:rsid w:val="002942E3"/>
    <w:rsid w:val="002A70A3"/>
    <w:rsid w:val="002D1B44"/>
    <w:rsid w:val="00350E5C"/>
    <w:rsid w:val="00376AFA"/>
    <w:rsid w:val="00381A6C"/>
    <w:rsid w:val="003E6D21"/>
    <w:rsid w:val="00427863"/>
    <w:rsid w:val="004430C8"/>
    <w:rsid w:val="00457895"/>
    <w:rsid w:val="00464C76"/>
    <w:rsid w:val="00471925"/>
    <w:rsid w:val="00472780"/>
    <w:rsid w:val="0048549E"/>
    <w:rsid w:val="004A0E41"/>
    <w:rsid w:val="004B48A3"/>
    <w:rsid w:val="00506D9C"/>
    <w:rsid w:val="00547F39"/>
    <w:rsid w:val="00555556"/>
    <w:rsid w:val="00557970"/>
    <w:rsid w:val="005659F5"/>
    <w:rsid w:val="005B390C"/>
    <w:rsid w:val="005D3F49"/>
    <w:rsid w:val="005E3EE3"/>
    <w:rsid w:val="005E5D8E"/>
    <w:rsid w:val="00627D76"/>
    <w:rsid w:val="00646494"/>
    <w:rsid w:val="006935E7"/>
    <w:rsid w:val="006B7908"/>
    <w:rsid w:val="006E3424"/>
    <w:rsid w:val="0070400A"/>
    <w:rsid w:val="00770D55"/>
    <w:rsid w:val="00787940"/>
    <w:rsid w:val="007A5AF3"/>
    <w:rsid w:val="007C1894"/>
    <w:rsid w:val="007E464A"/>
    <w:rsid w:val="007F3AA0"/>
    <w:rsid w:val="00825B42"/>
    <w:rsid w:val="00825DB5"/>
    <w:rsid w:val="00826D22"/>
    <w:rsid w:val="00841A79"/>
    <w:rsid w:val="00877A72"/>
    <w:rsid w:val="00892AEE"/>
    <w:rsid w:val="0089580C"/>
    <w:rsid w:val="008A6087"/>
    <w:rsid w:val="008E4806"/>
    <w:rsid w:val="008E621B"/>
    <w:rsid w:val="008E6919"/>
    <w:rsid w:val="008E7CCE"/>
    <w:rsid w:val="00943328"/>
    <w:rsid w:val="00946265"/>
    <w:rsid w:val="00962323"/>
    <w:rsid w:val="00970D9C"/>
    <w:rsid w:val="00977E75"/>
    <w:rsid w:val="00977F02"/>
    <w:rsid w:val="00980E1E"/>
    <w:rsid w:val="009873E1"/>
    <w:rsid w:val="009B57A4"/>
    <w:rsid w:val="009B79AD"/>
    <w:rsid w:val="009C261F"/>
    <w:rsid w:val="009F4046"/>
    <w:rsid w:val="00A16DC9"/>
    <w:rsid w:val="00A269A1"/>
    <w:rsid w:val="00A527CD"/>
    <w:rsid w:val="00A62495"/>
    <w:rsid w:val="00A655F1"/>
    <w:rsid w:val="00A742B4"/>
    <w:rsid w:val="00A8511E"/>
    <w:rsid w:val="00A877AC"/>
    <w:rsid w:val="00A8787A"/>
    <w:rsid w:val="00AA229C"/>
    <w:rsid w:val="00AA741D"/>
    <w:rsid w:val="00AA7C7A"/>
    <w:rsid w:val="00AB03F8"/>
    <w:rsid w:val="00AD43FD"/>
    <w:rsid w:val="00B03C25"/>
    <w:rsid w:val="00B43C9C"/>
    <w:rsid w:val="00B52541"/>
    <w:rsid w:val="00B62E58"/>
    <w:rsid w:val="00B707EA"/>
    <w:rsid w:val="00B86300"/>
    <w:rsid w:val="00B868A8"/>
    <w:rsid w:val="00B92115"/>
    <w:rsid w:val="00BA5551"/>
    <w:rsid w:val="00BD164B"/>
    <w:rsid w:val="00BE1651"/>
    <w:rsid w:val="00C00112"/>
    <w:rsid w:val="00C06830"/>
    <w:rsid w:val="00C3692B"/>
    <w:rsid w:val="00C4255D"/>
    <w:rsid w:val="00C45C44"/>
    <w:rsid w:val="00C52162"/>
    <w:rsid w:val="00C61DF1"/>
    <w:rsid w:val="00C82F37"/>
    <w:rsid w:val="00CC4B94"/>
    <w:rsid w:val="00CD0D35"/>
    <w:rsid w:val="00CF1FFC"/>
    <w:rsid w:val="00CF6505"/>
    <w:rsid w:val="00D12103"/>
    <w:rsid w:val="00D12CE8"/>
    <w:rsid w:val="00D85C7C"/>
    <w:rsid w:val="00DB7AD6"/>
    <w:rsid w:val="00E1779B"/>
    <w:rsid w:val="00E66217"/>
    <w:rsid w:val="00E71D62"/>
    <w:rsid w:val="00E738CD"/>
    <w:rsid w:val="00E77457"/>
    <w:rsid w:val="00E9061A"/>
    <w:rsid w:val="00E9337E"/>
    <w:rsid w:val="00EA4BEA"/>
    <w:rsid w:val="00EA5ED5"/>
    <w:rsid w:val="00F20819"/>
    <w:rsid w:val="00F3363D"/>
    <w:rsid w:val="00F37FDF"/>
    <w:rsid w:val="00F476CA"/>
    <w:rsid w:val="00F572AD"/>
    <w:rsid w:val="00F84E70"/>
    <w:rsid w:val="00F93809"/>
    <w:rsid w:val="00F94139"/>
    <w:rsid w:val="00FA50C9"/>
    <w:rsid w:val="00FB4F3F"/>
    <w:rsid w:val="00FB527B"/>
    <w:rsid w:val="00FF1602"/>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F08DF7D"/>
  <w15:docId w15:val="{7E65D68F-17F7-4CAA-BB44-39D7F19C6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372">
    <w:lsdException w:name="heading 1" w:qFormat="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C950E7"/>
    <w:pPr>
      <w:spacing w:before="120"/>
    </w:pPr>
    <w:rPr>
      <w:rFonts w:ascii="Arial" w:hAnsi="Arial"/>
      <w:sz w:val="22"/>
      <w:szCs w:val="24"/>
    </w:rPr>
  </w:style>
  <w:style w:type="paragraph" w:styleId="Heading1">
    <w:name w:val="heading 1"/>
    <w:basedOn w:val="Normal"/>
    <w:next w:val="Normal"/>
    <w:link w:val="Heading1Char"/>
    <w:autoRedefine/>
    <w:qFormat/>
    <w:rsid w:val="00943328"/>
    <w:pPr>
      <w:spacing w:before="360" w:after="240" w:line="276" w:lineRule="auto"/>
      <w:outlineLvl w:val="0"/>
    </w:pPr>
    <w:rPr>
      <w:rFonts w:cs="Arial"/>
      <w:b/>
      <w:color w:val="FF0000"/>
      <w:sz w:val="24"/>
    </w:rPr>
  </w:style>
  <w:style w:type="paragraph" w:styleId="Heading2">
    <w:name w:val="heading 2"/>
    <w:basedOn w:val="Normal"/>
    <w:next w:val="Normal"/>
    <w:link w:val="Heading2Char"/>
    <w:qFormat/>
    <w:rsid w:val="00CB46EE"/>
    <w:pPr>
      <w:autoSpaceDE w:val="0"/>
      <w:autoSpaceDN w:val="0"/>
      <w:adjustRightInd w:val="0"/>
      <w:ind w:right="-96"/>
      <w:outlineLvl w:val="1"/>
    </w:pPr>
    <w:rPr>
      <w:b/>
      <w:color w:val="800000"/>
      <w:sz w:val="24"/>
      <w:lang w:eastAsia="en-GB"/>
    </w:rPr>
  </w:style>
  <w:style w:type="paragraph" w:styleId="Heading3">
    <w:name w:val="heading 3"/>
    <w:basedOn w:val="Normal"/>
    <w:next w:val="Normal"/>
    <w:link w:val="Heading3Char"/>
    <w:uiPriority w:val="9"/>
    <w:qFormat/>
    <w:rsid w:val="00CB46EE"/>
    <w:pPr>
      <w:autoSpaceDE w:val="0"/>
      <w:autoSpaceDN w:val="0"/>
      <w:adjustRightInd w:val="0"/>
      <w:ind w:right="-96"/>
      <w:outlineLvl w:val="2"/>
    </w:pPr>
    <w:rPr>
      <w:color w:val="595959"/>
      <w:sz w:val="24"/>
      <w:lang w:eastAsia="en-GB"/>
    </w:rPr>
  </w:style>
  <w:style w:type="paragraph" w:styleId="Heading4">
    <w:name w:val="heading 4"/>
    <w:basedOn w:val="Normal"/>
    <w:next w:val="Normal"/>
    <w:link w:val="Heading4Char"/>
    <w:qFormat/>
    <w:rsid w:val="00CB46EE"/>
    <w:pPr>
      <w:ind w:right="-96"/>
      <w:outlineLvl w:val="3"/>
    </w:pPr>
    <w:rPr>
      <w:rFonts w:ascii="Arial Bold" w:hAnsi="Arial Bold"/>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43328"/>
    <w:rPr>
      <w:rFonts w:ascii="Arial" w:hAnsi="Arial" w:cs="Arial"/>
      <w:b/>
      <w:color w:val="FF0000"/>
      <w:sz w:val="24"/>
      <w:szCs w:val="24"/>
    </w:rPr>
  </w:style>
  <w:style w:type="character" w:customStyle="1" w:styleId="Heading2Char">
    <w:name w:val="Heading 2 Char"/>
    <w:link w:val="Heading2"/>
    <w:rsid w:val="00CB46EE"/>
    <w:rPr>
      <w:rFonts w:ascii="Arial" w:hAnsi="Arial"/>
      <w:b/>
      <w:color w:val="800000"/>
      <w:sz w:val="24"/>
      <w:szCs w:val="24"/>
      <w:lang w:eastAsia="en-GB"/>
    </w:rPr>
  </w:style>
  <w:style w:type="character" w:customStyle="1" w:styleId="Heading3Char">
    <w:name w:val="Heading 3 Char"/>
    <w:link w:val="Heading3"/>
    <w:uiPriority w:val="9"/>
    <w:rsid w:val="00CB46EE"/>
    <w:rPr>
      <w:rFonts w:ascii="Arial" w:hAnsi="Arial"/>
      <w:color w:val="595959"/>
      <w:sz w:val="24"/>
      <w:szCs w:val="24"/>
      <w:lang w:eastAsia="en-GB"/>
    </w:rPr>
  </w:style>
  <w:style w:type="character" w:customStyle="1" w:styleId="Heading4Char">
    <w:name w:val="Heading 4 Char"/>
    <w:link w:val="Heading4"/>
    <w:rsid w:val="00CB46EE"/>
    <w:rPr>
      <w:rFonts w:ascii="Arial Bold" w:hAnsi="Arial Bold"/>
      <w:szCs w:val="24"/>
    </w:rPr>
  </w:style>
  <w:style w:type="paragraph" w:styleId="Header">
    <w:name w:val="header"/>
    <w:basedOn w:val="Normal"/>
    <w:link w:val="HeaderChar"/>
    <w:uiPriority w:val="99"/>
    <w:unhideWhenUsed/>
    <w:rsid w:val="00EA7C95"/>
    <w:pPr>
      <w:tabs>
        <w:tab w:val="center" w:pos="4320"/>
        <w:tab w:val="right" w:pos="8640"/>
      </w:tabs>
    </w:pPr>
  </w:style>
  <w:style w:type="character" w:customStyle="1" w:styleId="HeaderChar">
    <w:name w:val="Header Char"/>
    <w:basedOn w:val="DefaultParagraphFont"/>
    <w:link w:val="Header"/>
    <w:uiPriority w:val="99"/>
    <w:rsid w:val="00EA7C95"/>
  </w:style>
  <w:style w:type="paragraph" w:styleId="Footer">
    <w:name w:val="footer"/>
    <w:basedOn w:val="Normal"/>
    <w:link w:val="FooterChar"/>
    <w:uiPriority w:val="99"/>
    <w:unhideWhenUsed/>
    <w:rsid w:val="00EA7C95"/>
    <w:pPr>
      <w:tabs>
        <w:tab w:val="center" w:pos="4320"/>
        <w:tab w:val="right" w:pos="8640"/>
      </w:tabs>
    </w:pPr>
  </w:style>
  <w:style w:type="character" w:customStyle="1" w:styleId="FooterChar">
    <w:name w:val="Footer Char"/>
    <w:basedOn w:val="DefaultParagraphFont"/>
    <w:link w:val="Footer"/>
    <w:uiPriority w:val="99"/>
    <w:rsid w:val="00EA7C95"/>
  </w:style>
  <w:style w:type="character" w:styleId="Hyperlink">
    <w:name w:val="Hyperlink"/>
    <w:rsid w:val="00B470E5"/>
    <w:rPr>
      <w:color w:val="0000FF"/>
      <w:u w:val="single"/>
    </w:rPr>
  </w:style>
  <w:style w:type="character" w:styleId="FootnoteReference">
    <w:name w:val="footnote reference"/>
    <w:uiPriority w:val="99"/>
    <w:rsid w:val="00562310"/>
    <w:rPr>
      <w:vertAlign w:val="superscript"/>
    </w:rPr>
  </w:style>
  <w:style w:type="paragraph" w:customStyle="1" w:styleId="ColorfulList-Accent11">
    <w:name w:val="Colorful List - Accent 11"/>
    <w:basedOn w:val="Normal"/>
    <w:uiPriority w:val="34"/>
    <w:rsid w:val="00562310"/>
    <w:pPr>
      <w:ind w:left="720"/>
      <w:jc w:val="both"/>
    </w:pPr>
    <w:rPr>
      <w:rFonts w:ascii="Times New Roman" w:eastAsia="Times New Roman" w:hAnsi="Times New Roman"/>
      <w:lang w:val="en-GB"/>
    </w:rPr>
  </w:style>
  <w:style w:type="character" w:styleId="PageNumber">
    <w:name w:val="page number"/>
    <w:basedOn w:val="DefaultParagraphFont"/>
    <w:uiPriority w:val="99"/>
    <w:rsid w:val="00C70885"/>
  </w:style>
  <w:style w:type="paragraph" w:customStyle="1" w:styleId="Listbulleted1">
    <w:name w:val="List bulleted 1"/>
    <w:basedOn w:val="Normal"/>
    <w:qFormat/>
    <w:rsid w:val="00CB46EE"/>
    <w:pPr>
      <w:numPr>
        <w:numId w:val="1"/>
      </w:numPr>
    </w:pPr>
  </w:style>
  <w:style w:type="paragraph" w:customStyle="1" w:styleId="Listbulleted2">
    <w:name w:val="List bulleted 2"/>
    <w:basedOn w:val="Listbulleted1"/>
    <w:qFormat/>
    <w:rsid w:val="006D2D2E"/>
    <w:pPr>
      <w:numPr>
        <w:numId w:val="2"/>
      </w:numPr>
    </w:pPr>
  </w:style>
  <w:style w:type="paragraph" w:customStyle="1" w:styleId="Projectsubtitle">
    <w:name w:val="Project subtitle"/>
    <w:basedOn w:val="Normal"/>
    <w:qFormat/>
    <w:rsid w:val="00BA622B"/>
    <w:rPr>
      <w:rFonts w:ascii="Arial Rounded MT Bold" w:hAnsi="Arial Rounded MT Bold"/>
    </w:rPr>
  </w:style>
  <w:style w:type="character" w:styleId="IntenseReference">
    <w:name w:val="Intense Reference"/>
    <w:qFormat/>
    <w:rsid w:val="00CB46EE"/>
    <w:rPr>
      <w:b/>
      <w:bCs/>
      <w:smallCaps/>
      <w:color w:val="C0504D"/>
      <w:spacing w:val="5"/>
      <w:u w:val="single"/>
    </w:rPr>
  </w:style>
  <w:style w:type="paragraph" w:customStyle="1" w:styleId="BasicParagraph">
    <w:name w:val="[Basic Paragraph]"/>
    <w:basedOn w:val="Normal"/>
    <w:uiPriority w:val="99"/>
    <w:rsid w:val="00C950E7"/>
    <w:pPr>
      <w:widowControl w:val="0"/>
      <w:autoSpaceDE w:val="0"/>
      <w:autoSpaceDN w:val="0"/>
      <w:adjustRightInd w:val="0"/>
      <w:spacing w:before="0" w:line="288" w:lineRule="auto"/>
      <w:textAlignment w:val="center"/>
    </w:pPr>
    <w:rPr>
      <w:rFonts w:ascii="Times-Roman" w:hAnsi="Times-Roman" w:cs="Times-Roman"/>
      <w:color w:val="000000"/>
      <w:lang w:val="en-GB"/>
    </w:rPr>
  </w:style>
  <w:style w:type="paragraph" w:styleId="FootnoteText">
    <w:name w:val="footnote text"/>
    <w:basedOn w:val="Normal"/>
    <w:link w:val="FootnoteTextChar"/>
    <w:uiPriority w:val="99"/>
    <w:rsid w:val="00C06830"/>
    <w:pPr>
      <w:spacing w:before="0"/>
    </w:pPr>
    <w:rPr>
      <w:sz w:val="20"/>
      <w:szCs w:val="20"/>
    </w:rPr>
  </w:style>
  <w:style w:type="character" w:customStyle="1" w:styleId="FootnoteTextChar">
    <w:name w:val="Footnote Text Char"/>
    <w:basedOn w:val="DefaultParagraphFont"/>
    <w:link w:val="FootnoteText"/>
    <w:uiPriority w:val="99"/>
    <w:rsid w:val="00C06830"/>
    <w:rPr>
      <w:rFonts w:ascii="Arial" w:hAnsi="Arial"/>
    </w:rPr>
  </w:style>
  <w:style w:type="paragraph" w:styleId="ListParagraph">
    <w:name w:val="List Paragraph"/>
    <w:basedOn w:val="Normal"/>
    <w:uiPriority w:val="34"/>
    <w:qFormat/>
    <w:rsid w:val="00557970"/>
    <w:pPr>
      <w:ind w:left="720"/>
      <w:contextualSpacing/>
    </w:pPr>
  </w:style>
  <w:style w:type="table" w:styleId="TableGrid">
    <w:name w:val="Table Grid"/>
    <w:basedOn w:val="TableNormal"/>
    <w:uiPriority w:val="59"/>
    <w:rsid w:val="00BE16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A655F1"/>
    <w:pPr>
      <w:spacing w:before="0"/>
    </w:pPr>
    <w:rPr>
      <w:rFonts w:ascii="Tahoma" w:hAnsi="Tahoma" w:cs="Tahoma"/>
      <w:sz w:val="16"/>
      <w:szCs w:val="16"/>
    </w:rPr>
  </w:style>
  <w:style w:type="character" w:customStyle="1" w:styleId="BalloonTextChar">
    <w:name w:val="Balloon Text Char"/>
    <w:basedOn w:val="DefaultParagraphFont"/>
    <w:link w:val="BalloonText"/>
    <w:rsid w:val="00A655F1"/>
    <w:rPr>
      <w:rFonts w:ascii="Tahoma" w:hAnsi="Tahoma" w:cs="Tahoma"/>
      <w:sz w:val="16"/>
      <w:szCs w:val="16"/>
    </w:rPr>
  </w:style>
  <w:style w:type="paragraph" w:styleId="EndnoteText">
    <w:name w:val="endnote text"/>
    <w:basedOn w:val="Normal"/>
    <w:link w:val="EndnoteTextChar"/>
    <w:semiHidden/>
    <w:unhideWhenUsed/>
    <w:rsid w:val="0014656F"/>
    <w:pPr>
      <w:spacing w:before="0"/>
    </w:pPr>
    <w:rPr>
      <w:sz w:val="20"/>
      <w:szCs w:val="20"/>
    </w:rPr>
  </w:style>
  <w:style w:type="character" w:customStyle="1" w:styleId="EndnoteTextChar">
    <w:name w:val="Endnote Text Char"/>
    <w:basedOn w:val="DefaultParagraphFont"/>
    <w:link w:val="EndnoteText"/>
    <w:semiHidden/>
    <w:rsid w:val="0014656F"/>
    <w:rPr>
      <w:rFonts w:ascii="Arial" w:hAnsi="Arial"/>
    </w:rPr>
  </w:style>
  <w:style w:type="character" w:styleId="EndnoteReference">
    <w:name w:val="endnote reference"/>
    <w:basedOn w:val="DefaultParagraphFont"/>
    <w:semiHidden/>
    <w:unhideWhenUsed/>
    <w:rsid w:val="0014656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807078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ropbox.com/s/2tknbobm49kfu1k/School%20safety_2%20Pager%20(1).pdf?dl=0" TargetMode="External"/><Relationship Id="rId13" Type="http://schemas.openxmlformats.org/officeDocument/2006/relationships/hyperlink" Target="http://www.ifrc.org/what-we-do/principles-and-values/youth-as-agents-of-behavioural-change-yabc/" TargetMode="External"/><Relationship Id="rId18" Type="http://schemas.openxmlformats.org/officeDocument/2006/relationships/hyperlink" Target="https://sites.google.com/site/drrtoolsinsoutheastasia/gender-and-diversity/gender-and-diversity-for-resilience-toolkit"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sites.google.com/site/drrtoolsinsoutheastasia/youth-and-volunteers-1/southeast-asia-youth-network-seayn" TargetMode="External"/><Relationship Id="rId17" Type="http://schemas.openxmlformats.org/officeDocument/2006/relationships/hyperlink" Target="https://sites.google.com/site/drrtoolsinsoutheastasia/gender-and-diversity/gender-and-diversity-for-resilience-toolkit" TargetMode="External"/><Relationship Id="rId2" Type="http://schemas.openxmlformats.org/officeDocument/2006/relationships/numbering" Target="numbering.xml"/><Relationship Id="rId16" Type="http://schemas.openxmlformats.org/officeDocument/2006/relationships/hyperlink" Target="http://www.ifrc.org/en/what-we-do/disaster-law/news/asia-pacific/malaysia-making-sure-we-are-prepared-before-the-real-one-hits-68817/"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ropbox.com/s/a5ifa7k4a9tjs14/Disaster%20Law%20in%20Southeast%20Asia_Summary%20of%20Progress%202012-2015%20FINAL.pdf?dl=0"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dropbox.com/s/qcf7coampq522o7/annex%20d%20-%20Joint%20action%20plan%20for%20technical%20collaboration%20between%20RCRC%20and%20AHA%20Centre%20FINAL.pdf?dl=0" TargetMode="External"/><Relationship Id="rId23" Type="http://schemas.openxmlformats.org/officeDocument/2006/relationships/fontTable" Target="fontTable.xml"/><Relationship Id="rId10" Type="http://schemas.openxmlformats.org/officeDocument/2006/relationships/hyperlink" Target="https://sites.google.com/site/drrtoolsinsoutheastasia/" TargetMode="External"/><Relationship Id="rId19" Type="http://schemas.openxmlformats.org/officeDocument/2006/relationships/hyperlink" Target="https://sites.google.com/site/drrtoolsinsoutheastasia/meetings-and-workshops/2015/rcrc-induction-training-for-governments-of-asean-in-ace-programme" TargetMode="External"/><Relationship Id="rId4" Type="http://schemas.openxmlformats.org/officeDocument/2006/relationships/settings" Target="settings.xml"/><Relationship Id="rId9" Type="http://schemas.openxmlformats.org/officeDocument/2006/relationships/hyperlink" Target="http://www.ifrc.org/one-billion-coalition" TargetMode="External"/><Relationship Id="rId14" Type="http://schemas.openxmlformats.org/officeDocument/2006/relationships/hyperlink" Target="http://www.ifrc.org/one-billion-coalition" TargetMode="External"/><Relationship Id="rId22" Type="http://schemas.openxmlformats.org/officeDocument/2006/relationships/footer" Target="footer2.xml"/></Relationships>
</file>

<file path=word/_rels/endnotes.xml.rels><?xml version="1.0" encoding="UTF-8" standalone="yes"?>
<Relationships xmlns="http://schemas.openxmlformats.org/package/2006/relationships"><Relationship Id="rId3" Type="http://schemas.openxmlformats.org/officeDocument/2006/relationships/hyperlink" Target="https://sites.google.com/site/drrtoolsinsoutheastasia/youth-and-volunteers-1/southeast-asia-youth-network-seayn" TargetMode="External"/><Relationship Id="rId2" Type="http://schemas.openxmlformats.org/officeDocument/2006/relationships/hyperlink" Target="https://www.dropbox.com/s/fpkqdghfogyff69/SEA%20Regional%20Gender%20and%20Diversity%20Network%20Meeting%20Report_October%202015.pdf?dl=0" TargetMode="External"/><Relationship Id="rId1" Type="http://schemas.openxmlformats.org/officeDocument/2006/relationships/hyperlink" Target="https://sites.google.com/site/drrtoolsinsoutheastasia/regional-csr-forum/more-on-regional-community-safety-and-resilience-forum" TargetMode="External"/><Relationship Id="rId4" Type="http://schemas.openxmlformats.org/officeDocument/2006/relationships/hyperlink" Target="http://www.ifrc.org/en/what-we-do/principles-and-values/youth-as-agents-of-behavioural-change-yabc/"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katejean.smith\Dropbox\IFRC\Guidelines%20&amp;%20Templates\_IFRC-generic-template-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2B27B7-B41E-4835-8D55-46C69D0AB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_IFRC-generic-template-EN.dotx</Template>
  <TotalTime>24</TotalTime>
  <Pages>4</Pages>
  <Words>1538</Words>
  <Characters>8768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IFRC</Company>
  <LinksUpToDate>false</LinksUpToDate>
  <CharactersWithSpaces>10286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KateJean Smith</dc:creator>
  <cp:lastModifiedBy>Mirva HELENIUS</cp:lastModifiedBy>
  <cp:revision>9</cp:revision>
  <cp:lastPrinted>2016-08-25T11:14:00Z</cp:lastPrinted>
  <dcterms:created xsi:type="dcterms:W3CDTF">2016-09-23T03:38:00Z</dcterms:created>
  <dcterms:modified xsi:type="dcterms:W3CDTF">2016-09-23T04:03:00Z</dcterms:modified>
</cp:coreProperties>
</file>