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E91D9D" w:rsidRPr="00791528" w:rsidRDefault="00A53EBB" w:rsidP="00DA688C">
      <w:pPr>
        <w:pStyle w:val="Projectsubtitle"/>
        <w:rPr>
          <w:rStyle w:val="Hyperlink"/>
          <w:rFonts w:ascii="Arial" w:hAnsi="Arial"/>
          <w:color w:val="FF0000"/>
          <w:sz w:val="48"/>
          <w:szCs w:val="20"/>
        </w:rPr>
      </w:pPr>
      <w:r>
        <w:rPr>
          <w:rFonts w:ascii="Arial Bold" w:hAnsi="Arial Bold"/>
          <w:sz w:val="52"/>
        </w:rPr>
        <w:t xml:space="preserve">Disaster Law disseminations in Vietnam </w:t>
      </w:r>
    </w:p>
    <w:p w:rsidR="00E91D9D" w:rsidRPr="00F04C67" w:rsidRDefault="00A53EBB" w:rsidP="00A53EBB">
      <w:pPr>
        <w:pStyle w:val="Projectsubtitle"/>
        <w:rPr>
          <w:rFonts w:ascii="Arial" w:hAnsi="Arial" w:cs="Arial"/>
          <w:color w:val="595959"/>
        </w:rPr>
      </w:pPr>
      <w:r>
        <w:rPr>
          <w:rStyle w:val="Hyperlink"/>
          <w:rFonts w:ascii="Arial" w:hAnsi="Arial" w:cs="Arial"/>
          <w:color w:val="auto"/>
          <w:u w:val="none"/>
        </w:rPr>
        <w:t>Concept Note</w:t>
      </w:r>
      <w:r w:rsidR="00F94139" w:rsidRPr="00F04C67">
        <w:rPr>
          <w:rStyle w:val="Hyperlink"/>
          <w:rFonts w:ascii="Arial" w:hAnsi="Arial" w:cs="Arial"/>
          <w:color w:val="auto"/>
          <w:u w:val="none"/>
        </w:rPr>
        <w:t xml:space="preserve"> / </w:t>
      </w:r>
      <w:r>
        <w:rPr>
          <w:rStyle w:val="Hyperlink"/>
          <w:rFonts w:ascii="Arial" w:hAnsi="Arial" w:cs="Arial"/>
          <w:color w:val="FF0000"/>
          <w:u w:val="none"/>
        </w:rPr>
        <w:t>Bangkok</w:t>
      </w:r>
      <w:r w:rsidR="003D0157">
        <w:rPr>
          <w:rStyle w:val="Hyperlink"/>
          <w:rFonts w:ascii="Arial" w:hAnsi="Arial" w:cs="Arial"/>
          <w:color w:val="FF0000"/>
          <w:u w:val="none"/>
        </w:rPr>
        <w:t xml:space="preserve"> </w:t>
      </w:r>
      <w:r w:rsidR="00F94139" w:rsidRPr="00F04C67">
        <w:rPr>
          <w:rFonts w:ascii="Arial" w:hAnsi="Arial" w:cs="Arial"/>
          <w:color w:val="595959"/>
        </w:rPr>
        <w:t xml:space="preserve">/ </w:t>
      </w:r>
      <w:r w:rsidR="00DA688C">
        <w:rPr>
          <w:rFonts w:ascii="Arial" w:hAnsi="Arial" w:cs="Arial"/>
          <w:color w:val="595959"/>
        </w:rPr>
        <w:t>June</w:t>
      </w:r>
      <w:r>
        <w:rPr>
          <w:rFonts w:ascii="Arial" w:hAnsi="Arial" w:cs="Arial"/>
          <w:color w:val="595959"/>
        </w:rPr>
        <w:t xml:space="preserve"> </w:t>
      </w:r>
      <w:r w:rsidR="00F04C67">
        <w:rPr>
          <w:rFonts w:ascii="Arial" w:hAnsi="Arial" w:cs="Arial"/>
          <w:color w:val="595959"/>
        </w:rPr>
        <w:t>2016</w:t>
      </w:r>
    </w:p>
    <w:p w:rsidR="00814BF1" w:rsidRPr="00814BF1" w:rsidRDefault="00F04C67" w:rsidP="00814BF1">
      <w:pPr>
        <w:pStyle w:val="Projectsubtitle"/>
        <w:tabs>
          <w:tab w:val="left" w:pos="3120"/>
        </w:tabs>
        <w:spacing w:before="0"/>
        <w:jc w:val="both"/>
        <w:rPr>
          <w:color w:val="595959"/>
        </w:rPr>
      </w:pPr>
      <w:r>
        <w:rPr>
          <w:color w:val="595959"/>
        </w:rPr>
        <w:tab/>
      </w:r>
    </w:p>
    <w:p w:rsidR="00814BF1" w:rsidRDefault="00814BF1" w:rsidP="002E7329">
      <w:pPr>
        <w:pStyle w:val="Heading1"/>
        <w:spacing w:before="0" w:after="240"/>
        <w:jc w:val="both"/>
      </w:pPr>
    </w:p>
    <w:p w:rsidR="007D0893" w:rsidRDefault="001861F0" w:rsidP="002E7329">
      <w:pPr>
        <w:pStyle w:val="Heading1"/>
        <w:spacing w:before="0" w:after="240"/>
        <w:jc w:val="both"/>
      </w:pPr>
      <w:r>
        <w:t>Background</w:t>
      </w:r>
    </w:p>
    <w:p w:rsidR="00A836A6" w:rsidRDefault="00546A06" w:rsidP="006A1FF9">
      <w:pPr>
        <w:jc w:val="both"/>
      </w:pPr>
      <w:r>
        <w:t xml:space="preserve">In </w:t>
      </w:r>
      <w:r w:rsidR="00A42699">
        <w:t xml:space="preserve">June </w:t>
      </w:r>
      <w:r>
        <w:t xml:space="preserve">2013, the Government of Vietnam adopted the </w:t>
      </w:r>
      <w:r w:rsidR="00126FC0">
        <w:t xml:space="preserve">‘Law on Natural Disaster Prevention and Control’, a landmark disaster management law which set a precedent throughout Southeast Asia and </w:t>
      </w:r>
      <w:r w:rsidR="00A42699">
        <w:t>the Asia Pacific region.  The law outlines provisions</w:t>
      </w:r>
      <w:r w:rsidR="00126FC0">
        <w:t xml:space="preserve"> </w:t>
      </w:r>
      <w:r w:rsidR="00A42699">
        <w:t>for prevention and response, roles and responsibilities at different levels, procedures for international cooperation, and contains elements relating to disaster risk reduction (DRR)</w:t>
      </w:r>
      <w:r w:rsidR="006A1FF9">
        <w:t>, among other areas.</w:t>
      </w:r>
      <w:r w:rsidR="00A42699">
        <w:t xml:space="preserve">  Vietnam Red Cross Society (VNRC), </w:t>
      </w:r>
      <w:r w:rsidR="00DC1516">
        <w:t>in their unique role as auxiliary to public authorities,</w:t>
      </w:r>
      <w:r w:rsidR="00A42699">
        <w:t xml:space="preserve"> played a crucial role in influencing the development of the law and providing advice and comments to the </w:t>
      </w:r>
      <w:bookmarkStart w:id="0" w:name="_GoBack"/>
      <w:r w:rsidR="006A1FF9">
        <w:t xml:space="preserve">Ministry of Agriculture and Rural Development </w:t>
      </w:r>
      <w:bookmarkEnd w:id="0"/>
      <w:r w:rsidR="006A1FF9">
        <w:t>(MARD) and the National Assembly.</w:t>
      </w:r>
      <w:r w:rsidR="00A42699">
        <w:t xml:space="preserve"> VNRC advocated, together with the IFRC, about the importance of prioritizing DRR</w:t>
      </w:r>
      <w:r w:rsidR="00DC1516">
        <w:t xml:space="preserve">, highlighting the role of </w:t>
      </w:r>
      <w:r w:rsidR="006A1FF9">
        <w:t>the Red Cross in</w:t>
      </w:r>
      <w:r w:rsidR="00DC1516">
        <w:t xml:space="preserve"> disaster preparedness and response, and the need to have rules in place to facilitate and </w:t>
      </w:r>
      <w:r w:rsidR="006A1FF9">
        <w:t>regulate</w:t>
      </w:r>
      <w:r w:rsidR="00DC1516">
        <w:t xml:space="preserve"> international </w:t>
      </w:r>
      <w:r w:rsidR="006A1FF9">
        <w:t xml:space="preserve">disaster </w:t>
      </w:r>
      <w:r w:rsidR="00DC1516">
        <w:t xml:space="preserve">assistance, in line with international standards such as the ‘Guidelines for the Facilitation and Regulation of International Disaster Relief and Initial Recovery Assistance’ (also known as the ‘IDRL Guidelines’).  </w:t>
      </w:r>
      <w:r w:rsidR="00E06260">
        <w:t xml:space="preserve">More recently, international guidance has also been developed </w:t>
      </w:r>
      <w:r w:rsidR="006A1FF9">
        <w:t xml:space="preserve">by IFRC and partners such as the United Nations Development Programme (UNDP) </w:t>
      </w:r>
      <w:r w:rsidR="00E06260">
        <w:t xml:space="preserve">which focuses on DRR, including a checklist and accompanying handbook on law and DRR. </w:t>
      </w:r>
    </w:p>
    <w:p w:rsidR="00A42699" w:rsidRDefault="00DC1516" w:rsidP="006A1FF9">
      <w:pPr>
        <w:jc w:val="both"/>
      </w:pPr>
      <w:r>
        <w:t xml:space="preserve">The </w:t>
      </w:r>
      <w:r w:rsidR="006A1FF9">
        <w:t>Disaster Prevention and Control L</w:t>
      </w:r>
      <w:r>
        <w:t>aw c</w:t>
      </w:r>
      <w:r w:rsidR="00A42699">
        <w:t>ame into effect in May 2014</w:t>
      </w:r>
      <w:r w:rsidR="006A1FF9">
        <w:t xml:space="preserve">.  Since that time, MARD </w:t>
      </w:r>
      <w:r>
        <w:t xml:space="preserve">has been </w:t>
      </w:r>
      <w:r w:rsidR="006A1FF9">
        <w:t xml:space="preserve">working together with VNRC to </w:t>
      </w:r>
      <w:r>
        <w:t>ensure the effective implementation of the new law.  One ke</w:t>
      </w:r>
      <w:r w:rsidR="00EC60AC">
        <w:t>y step to ensure implementation</w:t>
      </w:r>
      <w:r>
        <w:t xml:space="preserve"> is to undertake dissemination and awareness-raising about the new law and the procedures and information it contains. This is e</w:t>
      </w:r>
      <w:r w:rsidR="00EC60AC">
        <w:t>specially important with regard</w:t>
      </w:r>
      <w:r>
        <w:t xml:space="preserve"> to role</w:t>
      </w:r>
      <w:r w:rsidR="00EC60AC">
        <w:t>s</w:t>
      </w:r>
      <w:r>
        <w:t xml:space="preserve"> and responsibilities, </w:t>
      </w:r>
      <w:r w:rsidR="00EC60AC">
        <w:t xml:space="preserve">coordination between actors, </w:t>
      </w:r>
      <w:r>
        <w:t xml:space="preserve">and knowing what procedures are most relevant for actors at all levels, including at the local and community level. </w:t>
      </w:r>
    </w:p>
    <w:p w:rsidR="00126FC0" w:rsidRDefault="00CD4C89" w:rsidP="00EC60AC">
      <w:pPr>
        <w:jc w:val="both"/>
      </w:pPr>
      <w:r>
        <w:t xml:space="preserve">VNRC has been active in this process, including through the facilitation </w:t>
      </w:r>
      <w:r w:rsidR="00EC60AC">
        <w:t>and participation of pe</w:t>
      </w:r>
      <w:r>
        <w:t>er-to-peer learning exchanges about disaster law and the experience of Vietnam.  They have hosted groups from Lao PDR and the Democratic People’s Republic of Korea (DPRK), and even travelled to Pyongyang with MARD to share the</w:t>
      </w:r>
      <w:r w:rsidR="00EC60AC">
        <w:t>ir</w:t>
      </w:r>
      <w:r>
        <w:t xml:space="preserve"> experience with senior DPRK officials and the </w:t>
      </w:r>
      <w:r w:rsidR="00EC60AC">
        <w:t xml:space="preserve">DPRK </w:t>
      </w:r>
      <w:r>
        <w:t xml:space="preserve">Red Cross Society. </w:t>
      </w:r>
    </w:p>
    <w:p w:rsidR="00F66632" w:rsidRDefault="00CD4C89" w:rsidP="002E7329">
      <w:pPr>
        <w:jc w:val="both"/>
      </w:pPr>
      <w:r>
        <w:t xml:space="preserve">VNRC and IFRC have recently had discussions about how they can continue to play an active role in the implementation of the Natural Disaster Prevention and Control Law, and propose to hold a series of dissemination sessions in Vietnam, together with MARD and the Central </w:t>
      </w:r>
      <w:r w:rsidR="00BB3E78">
        <w:t xml:space="preserve">Steering </w:t>
      </w:r>
      <w:r>
        <w:t xml:space="preserve">Committee </w:t>
      </w:r>
      <w:r w:rsidR="00BB3E78">
        <w:t>for Natural Disaster Prevention and Control.</w:t>
      </w:r>
      <w:r w:rsidR="00F66632">
        <w:t xml:space="preserve">  </w:t>
      </w:r>
      <w:r w:rsidR="00F05954">
        <w:t xml:space="preserve">The disseminations will target </w:t>
      </w:r>
      <w:r w:rsidR="007F6BD2">
        <w:t>authorities and VNRC branches and volunteers at different levels, including national, provincial and local level</w:t>
      </w:r>
      <w:r w:rsidR="00EC60AC">
        <w:t xml:space="preserve">s. </w:t>
      </w:r>
      <w:r w:rsidR="007F6BD2">
        <w:t xml:space="preserve">This </w:t>
      </w:r>
      <w:r w:rsidR="00F66632">
        <w:t xml:space="preserve">work also seeks to better integrate disaster law, community engagement and accountability, </w:t>
      </w:r>
      <w:r w:rsidR="00F05954">
        <w:t xml:space="preserve">by </w:t>
      </w:r>
      <w:r w:rsidR="00F66632">
        <w:t>ensu</w:t>
      </w:r>
      <w:r w:rsidR="00F05954">
        <w:t>ring that</w:t>
      </w:r>
      <w:r w:rsidR="00F66632">
        <w:t xml:space="preserve"> local actors understand what laws can do for them (e.g. ‘know your rights’); and explaining how laws outline key roles and responsibilities for</w:t>
      </w:r>
      <w:r w:rsidR="00F05954">
        <w:t xml:space="preserve"> </w:t>
      </w:r>
      <w:r w:rsidR="007F6BD2">
        <w:t xml:space="preserve">local actors. </w:t>
      </w:r>
    </w:p>
    <w:p w:rsidR="00814BF1" w:rsidRDefault="00814BF1" w:rsidP="002E7329">
      <w:pPr>
        <w:spacing w:before="0"/>
        <w:jc w:val="both"/>
      </w:pPr>
    </w:p>
    <w:p w:rsidR="00814BF1" w:rsidRPr="009D655D" w:rsidRDefault="00814BF1" w:rsidP="002E7329">
      <w:pPr>
        <w:spacing w:before="0"/>
        <w:jc w:val="both"/>
      </w:pPr>
    </w:p>
    <w:p w:rsidR="009D655D" w:rsidRDefault="000001DF" w:rsidP="002E7329">
      <w:pPr>
        <w:pStyle w:val="Heading1"/>
        <w:spacing w:before="0" w:after="240"/>
        <w:jc w:val="both"/>
      </w:pPr>
      <w:r>
        <w:t>Purpose</w:t>
      </w:r>
    </w:p>
    <w:p w:rsidR="00F66632" w:rsidRDefault="00F66632" w:rsidP="002E7329">
      <w:pPr>
        <w:jc w:val="both"/>
      </w:pPr>
      <w:r>
        <w:t>The purpose of the disseminations will be three-fold:</w:t>
      </w:r>
    </w:p>
    <w:p w:rsidR="00F66632" w:rsidRDefault="00F66632" w:rsidP="00EC60AC">
      <w:pPr>
        <w:pStyle w:val="ListParagraph"/>
        <w:numPr>
          <w:ilvl w:val="0"/>
          <w:numId w:val="7"/>
        </w:numPr>
        <w:jc w:val="both"/>
      </w:pPr>
      <w:r>
        <w:t>To familiarize participants with the most relevant components of the Law on Natural Disaster Prevention an</w:t>
      </w:r>
      <w:r w:rsidR="00EC60AC">
        <w:t>d C</w:t>
      </w:r>
      <w:r>
        <w:t>ontrol, especially with re</w:t>
      </w:r>
      <w:r w:rsidR="00EC60AC">
        <w:t xml:space="preserve">gard to roles, responsibilities, rights and </w:t>
      </w:r>
      <w:r w:rsidR="00EC60AC">
        <w:lastRenderedPageBreak/>
        <w:t>obligations</w:t>
      </w:r>
      <w:r>
        <w:t xml:space="preserve">. </w:t>
      </w:r>
      <w:r w:rsidR="00F05954">
        <w:t xml:space="preserve"> This may also extend to other relevant sectoral laws, as appropriate. </w:t>
      </w:r>
    </w:p>
    <w:p w:rsidR="00F66632" w:rsidRDefault="00F66632" w:rsidP="00EC60AC">
      <w:pPr>
        <w:pStyle w:val="ListParagraph"/>
        <w:numPr>
          <w:ilvl w:val="0"/>
          <w:numId w:val="7"/>
        </w:numPr>
        <w:jc w:val="both"/>
      </w:pPr>
      <w:r>
        <w:t xml:space="preserve">To reinforce and highlight the role of Vietnam Red Cross </w:t>
      </w:r>
      <w:r w:rsidR="00EC60AC">
        <w:t>Society as a key community-based actor;</w:t>
      </w:r>
      <w:r>
        <w:t xml:space="preserve"> </w:t>
      </w:r>
      <w:r w:rsidR="00F05954">
        <w:t xml:space="preserve">outline their mandate as recognized by the National Red </w:t>
      </w:r>
      <w:r w:rsidR="00EC60AC">
        <w:t>Cross Law,</w:t>
      </w:r>
      <w:r w:rsidR="00F05954">
        <w:t xml:space="preserve"> their role in disaster management and as a </w:t>
      </w:r>
      <w:r>
        <w:t>bridge between the community / local level and national level policy</w:t>
      </w:r>
      <w:r w:rsidR="00EC60AC">
        <w:t xml:space="preserve"> and decision making processes; and highlight the fundamental principles of the Red Cross Red Crescent which guide VNRC’s work. </w:t>
      </w:r>
    </w:p>
    <w:p w:rsidR="009D655D" w:rsidRDefault="00F66632" w:rsidP="002E7329">
      <w:pPr>
        <w:pStyle w:val="ListParagraph"/>
        <w:numPr>
          <w:ilvl w:val="0"/>
          <w:numId w:val="7"/>
        </w:numPr>
        <w:jc w:val="both"/>
      </w:pPr>
      <w:r>
        <w:t xml:space="preserve">To introduce </w:t>
      </w:r>
      <w:r w:rsidR="0066614A">
        <w:t xml:space="preserve">key international </w:t>
      </w:r>
      <w:r>
        <w:t xml:space="preserve">disaster law </w:t>
      </w:r>
      <w:r w:rsidR="0066614A">
        <w:t>themes and standards, and their relevance for Vietnam. This may include</w:t>
      </w:r>
      <w:r>
        <w:t xml:space="preserve"> International Disaster Response Law (IDRL), Law and DRR, and First Aid law. </w:t>
      </w:r>
    </w:p>
    <w:p w:rsidR="009D655D" w:rsidRDefault="009D655D" w:rsidP="002E7329">
      <w:pPr>
        <w:jc w:val="both"/>
      </w:pPr>
    </w:p>
    <w:p w:rsidR="00814BF1" w:rsidRPr="009D655D" w:rsidRDefault="00814BF1" w:rsidP="002E7329">
      <w:pPr>
        <w:jc w:val="both"/>
      </w:pPr>
    </w:p>
    <w:p w:rsidR="009D655D" w:rsidRPr="009D655D" w:rsidRDefault="007F6BD2" w:rsidP="002E7329">
      <w:pPr>
        <w:pStyle w:val="Heading1"/>
        <w:spacing w:before="0" w:after="240"/>
        <w:jc w:val="both"/>
      </w:pPr>
      <w:r>
        <w:t>Methodology / P</w:t>
      </w:r>
      <w:r w:rsidR="000001DF">
        <w:t xml:space="preserve">rogramme </w:t>
      </w:r>
    </w:p>
    <w:p w:rsidR="00325EE1" w:rsidRDefault="00EC60AC" w:rsidP="001B074B">
      <w:pPr>
        <w:spacing w:before="0" w:after="240"/>
        <w:jc w:val="both"/>
      </w:pPr>
      <w:r>
        <w:t xml:space="preserve">The disseminations will run for a </w:t>
      </w:r>
      <w:r w:rsidR="001B074B">
        <w:t>one day</w:t>
      </w:r>
      <w:r w:rsidR="005022A1">
        <w:t xml:space="preserve"> each,</w:t>
      </w:r>
      <w:r w:rsidR="00F05954">
        <w:t xml:space="preserve"> and the agenda will be developed according to the three key aims of the dissemination</w:t>
      </w:r>
      <w:r w:rsidR="00CF74AA">
        <w:t xml:space="preserve"> and the topics</w:t>
      </w:r>
      <w:r w:rsidR="00F05954">
        <w:t xml:space="preserve"> described above</w:t>
      </w:r>
      <w:r w:rsidR="00CF74AA">
        <w:t xml:space="preserve">.   </w:t>
      </w:r>
    </w:p>
    <w:p w:rsidR="00CF74AA" w:rsidRDefault="00CF74AA" w:rsidP="001B074B">
      <w:pPr>
        <w:spacing w:before="0" w:after="240"/>
        <w:jc w:val="both"/>
      </w:pPr>
      <w:r>
        <w:t>The dissemination</w:t>
      </w:r>
      <w:r w:rsidR="00EC60AC">
        <w:t>s</w:t>
      </w:r>
      <w:r>
        <w:t xml:space="preserve"> will be delivered by a facilitation team from VNRC, MARD and IFRC. </w:t>
      </w:r>
      <w:r w:rsidR="00EC60AC">
        <w:t xml:space="preserve"> They </w:t>
      </w:r>
      <w:r>
        <w:t>will be conducted predominantly in Vietnamese,</w:t>
      </w:r>
      <w:r w:rsidR="001B074B">
        <w:t xml:space="preserve"> except for the IFRC presentations.</w:t>
      </w:r>
      <w:r>
        <w:t xml:space="preserve"> </w:t>
      </w:r>
      <w:r w:rsidR="001B074B">
        <w:t xml:space="preserve">Simultaneous translation will be provided. </w:t>
      </w:r>
      <w:r>
        <w:t xml:space="preserve"> </w:t>
      </w:r>
    </w:p>
    <w:p w:rsidR="00814BF1" w:rsidRPr="00FF3387" w:rsidRDefault="00814BF1" w:rsidP="00EC60AC">
      <w:pPr>
        <w:spacing w:before="0" w:after="240"/>
        <w:jc w:val="both"/>
      </w:pPr>
    </w:p>
    <w:p w:rsidR="00FF3387" w:rsidRPr="00FF3387" w:rsidRDefault="000B7267" w:rsidP="002E7329">
      <w:pPr>
        <w:pStyle w:val="Heading1"/>
        <w:spacing w:before="0" w:after="240"/>
        <w:jc w:val="both"/>
      </w:pPr>
      <w:r>
        <w:t>Desired outcomes</w:t>
      </w:r>
    </w:p>
    <w:p w:rsidR="00EE0C9A" w:rsidRDefault="00325EE1" w:rsidP="002E7329">
      <w:pPr>
        <w:spacing w:before="0" w:after="240"/>
        <w:jc w:val="both"/>
      </w:pPr>
      <w:r>
        <w:t xml:space="preserve">The desired outcomes of the </w:t>
      </w:r>
      <w:r w:rsidR="00F05954">
        <w:t xml:space="preserve">disseminations are to: </w:t>
      </w:r>
    </w:p>
    <w:p w:rsidR="00325EE1" w:rsidRDefault="00CF74AA" w:rsidP="002E7329">
      <w:pPr>
        <w:pStyle w:val="ListParagraph"/>
        <w:numPr>
          <w:ilvl w:val="0"/>
          <w:numId w:val="5"/>
        </w:numPr>
        <w:spacing w:before="0" w:after="240"/>
        <w:jc w:val="both"/>
      </w:pPr>
      <w:r>
        <w:t xml:space="preserve">Provide an introduction to key components of the Law on Natural Disaster Prevention and Control </w:t>
      </w:r>
    </w:p>
    <w:p w:rsidR="00CF74AA" w:rsidRDefault="00CF74AA" w:rsidP="002E7329">
      <w:pPr>
        <w:pStyle w:val="ListParagraph"/>
        <w:numPr>
          <w:ilvl w:val="0"/>
          <w:numId w:val="5"/>
        </w:numPr>
        <w:spacing w:before="0" w:after="240"/>
        <w:jc w:val="both"/>
      </w:pPr>
      <w:r>
        <w:t xml:space="preserve">Promote a ‘know your rights and responsibilities’ approach to understanding and implementing the law </w:t>
      </w:r>
    </w:p>
    <w:p w:rsidR="00325EE1" w:rsidRDefault="00CF74AA" w:rsidP="002E7329">
      <w:pPr>
        <w:pStyle w:val="ListParagraph"/>
        <w:numPr>
          <w:ilvl w:val="0"/>
          <w:numId w:val="5"/>
        </w:numPr>
        <w:spacing w:before="0" w:after="240"/>
        <w:jc w:val="both"/>
      </w:pPr>
      <w:r>
        <w:t xml:space="preserve">Highlight the role of the Vietnam Red Cross, and improve understanding about their role in disaster risk management and the fundamental principles behind the Red Cross Red Crescent Movement </w:t>
      </w:r>
    </w:p>
    <w:p w:rsidR="00CF74AA" w:rsidRDefault="00CF74AA" w:rsidP="002E7329">
      <w:pPr>
        <w:pStyle w:val="ListParagraph"/>
        <w:numPr>
          <w:ilvl w:val="0"/>
          <w:numId w:val="5"/>
        </w:numPr>
        <w:spacing w:before="0" w:after="240"/>
        <w:jc w:val="both"/>
      </w:pPr>
      <w:r>
        <w:t>Outline and promote awareness of key international disaster law themes and standards</w:t>
      </w:r>
      <w:r w:rsidR="00EC60AC">
        <w:t>,</w:t>
      </w:r>
      <w:r>
        <w:t xml:space="preserve"> and their application / relevance in Vietnam. </w:t>
      </w:r>
    </w:p>
    <w:p w:rsidR="00CF74AA" w:rsidRDefault="00CF74AA" w:rsidP="002E7329">
      <w:pPr>
        <w:pStyle w:val="ListParagraph"/>
        <w:spacing w:before="0" w:after="240"/>
        <w:jc w:val="both"/>
      </w:pPr>
    </w:p>
    <w:p w:rsidR="00546A06" w:rsidRDefault="00546A06" w:rsidP="002E7329">
      <w:pPr>
        <w:pStyle w:val="Heading1"/>
        <w:spacing w:before="0" w:after="240"/>
        <w:jc w:val="both"/>
      </w:pPr>
      <w:r>
        <w:t xml:space="preserve">Timing </w:t>
      </w:r>
      <w:r w:rsidR="00BB3E78">
        <w:t>and Location</w:t>
      </w:r>
    </w:p>
    <w:p w:rsidR="00F05954" w:rsidRDefault="00F05954" w:rsidP="005022A1">
      <w:pPr>
        <w:jc w:val="both"/>
      </w:pPr>
      <w:r>
        <w:t>It is proposed that the disseminations be held in three locations: Hanoi, Danang, and Ho Chi Minh.</w:t>
      </w:r>
      <w:r w:rsidR="00E06260">
        <w:t xml:space="preserve">  It has been suggested to hold the disseminations </w:t>
      </w:r>
      <w:r w:rsidR="005022A1">
        <w:t xml:space="preserve">between August and September 2016. </w:t>
      </w:r>
    </w:p>
    <w:p w:rsidR="00814BF1" w:rsidRDefault="00814BF1" w:rsidP="002E7329">
      <w:pPr>
        <w:jc w:val="both"/>
      </w:pPr>
    </w:p>
    <w:p w:rsidR="00BB3E78" w:rsidRDefault="00BB3E78" w:rsidP="002E7329">
      <w:pPr>
        <w:pStyle w:val="Heading1"/>
        <w:spacing w:before="0" w:after="240"/>
        <w:jc w:val="both"/>
      </w:pPr>
      <w:r>
        <w:t>Participants</w:t>
      </w:r>
    </w:p>
    <w:p w:rsidR="005022A1" w:rsidRDefault="005022A1" w:rsidP="002E7329">
      <w:pPr>
        <w:jc w:val="both"/>
      </w:pPr>
      <w:r>
        <w:t xml:space="preserve">The disseminations aim to target national, provincial and commune level authorities, and VNRC branches (including volunteers).  The groups should not be bigger than 40 – 50 participants at each dissemination.  </w:t>
      </w:r>
    </w:p>
    <w:p w:rsidR="00E06260" w:rsidRDefault="007F6BD2" w:rsidP="002E7329">
      <w:pPr>
        <w:jc w:val="both"/>
      </w:pPr>
      <w:r>
        <w:t>Participants will be invited from</w:t>
      </w:r>
      <w:r w:rsidR="00E06260">
        <w:t>:</w:t>
      </w:r>
    </w:p>
    <w:p w:rsidR="00E06260" w:rsidRDefault="007F6BD2" w:rsidP="005D2A25">
      <w:pPr>
        <w:pStyle w:val="ListParagraph"/>
        <w:numPr>
          <w:ilvl w:val="0"/>
          <w:numId w:val="8"/>
        </w:numPr>
        <w:jc w:val="both"/>
      </w:pPr>
      <w:r>
        <w:t xml:space="preserve">VNRC HQ and branches in the three locations and surrounding </w:t>
      </w:r>
      <w:r w:rsidR="005D2A25">
        <w:t>provinces.</w:t>
      </w:r>
    </w:p>
    <w:p w:rsidR="007F6BD2" w:rsidRDefault="00E06260" w:rsidP="002E7329">
      <w:pPr>
        <w:pStyle w:val="ListParagraph"/>
        <w:numPr>
          <w:ilvl w:val="0"/>
          <w:numId w:val="8"/>
        </w:numPr>
        <w:jc w:val="both"/>
      </w:pPr>
      <w:r>
        <w:t>T</w:t>
      </w:r>
      <w:r w:rsidR="007F6BD2">
        <w:t xml:space="preserve">he relevant </w:t>
      </w:r>
      <w:r>
        <w:t xml:space="preserve">government </w:t>
      </w:r>
      <w:r w:rsidR="007F6BD2">
        <w:t>ministries and departments e.g. MARD, Ministry of Justice, Ministry of Education and Training; Ministry of Defence; loca</w:t>
      </w:r>
      <w:r>
        <w:t xml:space="preserve">l/provincial level authorities.  </w:t>
      </w:r>
    </w:p>
    <w:p w:rsidR="00E06260" w:rsidRDefault="00E06260" w:rsidP="002E7329">
      <w:pPr>
        <w:pStyle w:val="ListParagraph"/>
        <w:numPr>
          <w:ilvl w:val="0"/>
          <w:numId w:val="8"/>
        </w:numPr>
        <w:jc w:val="both"/>
      </w:pPr>
      <w:r>
        <w:lastRenderedPageBreak/>
        <w:t>Participants may also be invited from relevant civil society, NGOs, international organizations and the media.</w:t>
      </w:r>
    </w:p>
    <w:p w:rsidR="00814BF1" w:rsidRDefault="00814BF1" w:rsidP="001B074B">
      <w:pPr>
        <w:jc w:val="both"/>
      </w:pPr>
    </w:p>
    <w:p w:rsidR="001B074B" w:rsidRDefault="001B074B" w:rsidP="001B074B">
      <w:pPr>
        <w:pStyle w:val="Heading1"/>
        <w:spacing w:before="0" w:after="240"/>
        <w:jc w:val="both"/>
      </w:pPr>
      <w:r>
        <w:t>Budget</w:t>
      </w:r>
    </w:p>
    <w:p w:rsidR="001B074B" w:rsidRDefault="001B074B" w:rsidP="001B074B">
      <w:pPr>
        <w:jc w:val="both"/>
      </w:pPr>
      <w:r>
        <w:t xml:space="preserve">The budget is currently being prepared by VNRC and the Ministry of Agriculture and Rural Development. </w:t>
      </w:r>
    </w:p>
    <w:p w:rsidR="00814BF1" w:rsidRDefault="00814BF1" w:rsidP="002E7329">
      <w:pPr>
        <w:pStyle w:val="ListParagraph"/>
        <w:jc w:val="both"/>
      </w:pPr>
    </w:p>
    <w:p w:rsidR="008614B0" w:rsidRDefault="00E06260" w:rsidP="002E7329">
      <w:pPr>
        <w:pStyle w:val="Heading1"/>
        <w:spacing w:before="0" w:after="240"/>
        <w:jc w:val="both"/>
      </w:pPr>
      <w:r>
        <w:t>Re</w:t>
      </w:r>
      <w:r w:rsidR="000B7267">
        <w:t>sources</w:t>
      </w:r>
    </w:p>
    <w:p w:rsidR="00E06260" w:rsidRDefault="00114ED7" w:rsidP="002E7329">
      <w:pPr>
        <w:spacing w:before="0" w:after="240"/>
      </w:pPr>
      <w:r>
        <w:t xml:space="preserve">For more </w:t>
      </w:r>
      <w:r w:rsidR="00E06260">
        <w:t xml:space="preserve">information and </w:t>
      </w:r>
      <w:r>
        <w:t xml:space="preserve">resources </w:t>
      </w:r>
      <w:r w:rsidR="00E06260">
        <w:t xml:space="preserve">on disaster law, visit: </w:t>
      </w:r>
      <w:hyperlink r:id="rId9" w:history="1">
        <w:r w:rsidR="000B7267" w:rsidRPr="00830229">
          <w:rPr>
            <w:rStyle w:val="Hyperlink"/>
          </w:rPr>
          <w:t>www.ifrc.org/dl</w:t>
        </w:r>
      </w:hyperlink>
      <w:r w:rsidR="000B7267">
        <w:t xml:space="preserve"> </w:t>
      </w:r>
      <w:r w:rsidR="00E06260">
        <w:t xml:space="preserve">and </w:t>
      </w:r>
      <w:hyperlink r:id="rId10" w:history="1">
        <w:r w:rsidR="00E06260" w:rsidRPr="00830229">
          <w:rPr>
            <w:rStyle w:val="Hyperlink"/>
          </w:rPr>
          <w:t>www.drr-law.org</w:t>
        </w:r>
      </w:hyperlink>
    </w:p>
    <w:p w:rsidR="00114ED7" w:rsidRDefault="00E06260" w:rsidP="002E7329">
      <w:pPr>
        <w:spacing w:before="0" w:after="240"/>
      </w:pPr>
      <w:r>
        <w:t>VNRC’s official website is available at</w:t>
      </w:r>
      <w:r w:rsidR="002E7329">
        <w:t xml:space="preserve"> </w:t>
      </w:r>
      <w:hyperlink r:id="rId11" w:history="1">
        <w:r w:rsidRPr="00C22C03">
          <w:rPr>
            <w:rStyle w:val="Hyperlink"/>
          </w:rPr>
          <w:t>http://www.redcross.org.vn/redcross2/vn/home/index.jsp</w:t>
        </w:r>
      </w:hyperlink>
      <w:r>
        <w:t xml:space="preserve"> </w:t>
      </w:r>
    </w:p>
    <w:p w:rsidR="00814BF1" w:rsidRDefault="00814BF1" w:rsidP="002E7329">
      <w:pPr>
        <w:pStyle w:val="Heading1"/>
        <w:spacing w:before="0" w:after="240"/>
        <w:jc w:val="both"/>
      </w:pPr>
    </w:p>
    <w:p w:rsidR="000459FB" w:rsidRPr="00B728B7" w:rsidRDefault="000459FB" w:rsidP="002E7329">
      <w:pPr>
        <w:pStyle w:val="Heading1"/>
        <w:spacing w:before="0" w:after="240"/>
        <w:jc w:val="both"/>
      </w:pPr>
      <w:r w:rsidRPr="00B728B7">
        <w:t>Contact information</w:t>
      </w:r>
    </w:p>
    <w:p w:rsidR="000459FB" w:rsidRPr="00B728B7" w:rsidRDefault="000459FB" w:rsidP="002E7329">
      <w:pPr>
        <w:spacing w:before="0"/>
        <w:jc w:val="both"/>
      </w:pPr>
      <w:r w:rsidRPr="00B728B7">
        <w:t>For further information, please contact:</w:t>
      </w:r>
    </w:p>
    <w:p w:rsidR="00BC1338" w:rsidRDefault="00BC1338" w:rsidP="002E7329">
      <w:pPr>
        <w:spacing w:before="0"/>
        <w:jc w:val="both"/>
        <w:rPr>
          <w:rStyle w:val="Heading4Char"/>
        </w:rPr>
      </w:pPr>
      <w:r>
        <w:rPr>
          <w:rStyle w:val="Heading4Char"/>
        </w:rPr>
        <w:t>Lucia Cipullo</w:t>
      </w:r>
    </w:p>
    <w:p w:rsidR="000B7267" w:rsidRDefault="000001DF" w:rsidP="002E7329">
      <w:pPr>
        <w:spacing w:before="0"/>
        <w:jc w:val="both"/>
        <w:rPr>
          <w:rStyle w:val="Heading4Char"/>
        </w:rPr>
      </w:pPr>
      <w:r>
        <w:rPr>
          <w:rStyle w:val="Heading4Char"/>
        </w:rPr>
        <w:t xml:space="preserve">Regional </w:t>
      </w:r>
      <w:r w:rsidR="000459FB">
        <w:rPr>
          <w:rStyle w:val="Heading4Char"/>
        </w:rPr>
        <w:t>Disaste</w:t>
      </w:r>
      <w:r w:rsidR="000B7267">
        <w:rPr>
          <w:rStyle w:val="Heading4Char"/>
        </w:rPr>
        <w:t>r Law Delegate, Southeast Asia</w:t>
      </w:r>
    </w:p>
    <w:p w:rsidR="000459FB" w:rsidRDefault="000459FB" w:rsidP="002E7329">
      <w:pPr>
        <w:spacing w:before="0"/>
        <w:jc w:val="both"/>
        <w:rPr>
          <w:rStyle w:val="Heading4Char"/>
        </w:rPr>
      </w:pPr>
      <w:r>
        <w:rPr>
          <w:rStyle w:val="Heading4Char"/>
        </w:rPr>
        <w:t xml:space="preserve">IFRC </w:t>
      </w:r>
      <w:r w:rsidR="000B7267">
        <w:rPr>
          <w:rStyle w:val="Heading4Char"/>
        </w:rPr>
        <w:t xml:space="preserve">Country Cluster Support Team, </w:t>
      </w:r>
      <w:r>
        <w:rPr>
          <w:rStyle w:val="Heading4Char"/>
        </w:rPr>
        <w:t>Bangkok</w:t>
      </w:r>
      <w:r w:rsidR="000B7267">
        <w:rPr>
          <w:rStyle w:val="Heading4Char"/>
        </w:rPr>
        <w:t>, Thailand</w:t>
      </w:r>
    </w:p>
    <w:p w:rsidR="000459FB" w:rsidRDefault="0073410E" w:rsidP="002E7329">
      <w:pPr>
        <w:spacing w:before="0"/>
        <w:jc w:val="both"/>
        <w:rPr>
          <w:rStyle w:val="Heading4Char"/>
          <w:rFonts w:asciiTheme="minorBidi" w:hAnsiTheme="minorBidi" w:cstheme="minorBidi"/>
        </w:rPr>
      </w:pPr>
      <w:hyperlink r:id="rId12" w:history="1">
        <w:r w:rsidR="000459FB" w:rsidRPr="00250E5E">
          <w:rPr>
            <w:rStyle w:val="Hyperlink"/>
            <w:rFonts w:asciiTheme="minorBidi" w:hAnsiTheme="minorBidi" w:cstheme="minorBidi"/>
          </w:rPr>
          <w:t>lucia.cipullo@ifrc.org</w:t>
        </w:r>
      </w:hyperlink>
      <w:r w:rsidR="000459FB" w:rsidRPr="00250E5E">
        <w:rPr>
          <w:rStyle w:val="Heading4Char"/>
          <w:rFonts w:asciiTheme="minorBidi" w:hAnsiTheme="minorBidi" w:cstheme="minorBidi"/>
        </w:rPr>
        <w:t xml:space="preserve"> </w:t>
      </w:r>
    </w:p>
    <w:p w:rsidR="00DA688C" w:rsidRDefault="00DA688C" w:rsidP="002E7329">
      <w:pPr>
        <w:spacing w:before="0"/>
        <w:jc w:val="both"/>
        <w:rPr>
          <w:rStyle w:val="Heading4Char"/>
          <w:rFonts w:asciiTheme="minorBidi" w:hAnsiTheme="minorBidi" w:cstheme="minorBidi"/>
        </w:rPr>
      </w:pPr>
    </w:p>
    <w:p w:rsidR="00DA688C" w:rsidRPr="00DA688C" w:rsidRDefault="00DA688C" w:rsidP="002E7329">
      <w:pPr>
        <w:spacing w:before="0"/>
        <w:jc w:val="both"/>
        <w:rPr>
          <w:rStyle w:val="Heading4Char"/>
          <w:rFonts w:asciiTheme="minorBidi" w:hAnsiTheme="minorBidi" w:cstheme="minorBidi"/>
          <w:b/>
          <w:bCs/>
        </w:rPr>
      </w:pPr>
      <w:r w:rsidRPr="00DA688C">
        <w:rPr>
          <w:rStyle w:val="Heading4Char"/>
          <w:rFonts w:asciiTheme="minorBidi" w:hAnsiTheme="minorBidi" w:cstheme="minorBidi"/>
          <w:b/>
          <w:bCs/>
        </w:rPr>
        <w:t>Ms. Luong Hong Thuy (Quynh)</w:t>
      </w:r>
    </w:p>
    <w:p w:rsidR="00DA688C" w:rsidRPr="00DA688C" w:rsidRDefault="00DA688C" w:rsidP="002E7329">
      <w:pPr>
        <w:spacing w:before="0"/>
        <w:jc w:val="both"/>
        <w:rPr>
          <w:rStyle w:val="Heading4Char"/>
          <w:rFonts w:asciiTheme="minorBidi" w:hAnsiTheme="minorBidi" w:cstheme="minorBidi"/>
          <w:b/>
          <w:bCs/>
        </w:rPr>
      </w:pPr>
      <w:r w:rsidRPr="00DA688C">
        <w:rPr>
          <w:rStyle w:val="Heading4Char"/>
          <w:rFonts w:asciiTheme="minorBidi" w:hAnsiTheme="minorBidi" w:cstheme="minorBidi"/>
          <w:b/>
          <w:bCs/>
        </w:rPr>
        <w:t>International Relations Department</w:t>
      </w:r>
    </w:p>
    <w:p w:rsidR="00DA688C" w:rsidRPr="00DA688C" w:rsidRDefault="00DA688C" w:rsidP="002E7329">
      <w:pPr>
        <w:spacing w:before="0"/>
        <w:jc w:val="both"/>
        <w:rPr>
          <w:rStyle w:val="Heading4Char"/>
          <w:rFonts w:asciiTheme="minorBidi" w:hAnsiTheme="minorBidi" w:cstheme="minorBidi"/>
          <w:b/>
          <w:bCs/>
        </w:rPr>
      </w:pPr>
      <w:r w:rsidRPr="00DA688C">
        <w:rPr>
          <w:rStyle w:val="Heading4Char"/>
          <w:rFonts w:asciiTheme="minorBidi" w:hAnsiTheme="minorBidi" w:cstheme="minorBidi"/>
          <w:b/>
          <w:bCs/>
        </w:rPr>
        <w:t>Vietnam Red Cross</w:t>
      </w:r>
    </w:p>
    <w:p w:rsidR="00DA688C" w:rsidRPr="002E7329" w:rsidRDefault="0073410E" w:rsidP="002E7329">
      <w:pPr>
        <w:spacing w:before="0"/>
        <w:jc w:val="both"/>
        <w:rPr>
          <w:rFonts w:asciiTheme="minorBidi" w:hAnsiTheme="minorBidi" w:cstheme="minorBidi"/>
        </w:rPr>
      </w:pPr>
      <w:hyperlink r:id="rId13" w:history="1">
        <w:r w:rsidR="00DA688C" w:rsidRPr="00DF6A77">
          <w:rPr>
            <w:rStyle w:val="Hyperlink"/>
            <w:rFonts w:asciiTheme="minorBidi" w:hAnsiTheme="minorBidi" w:cstheme="minorBidi"/>
          </w:rPr>
          <w:t>luonghongthuy@gmail.com</w:t>
        </w:r>
      </w:hyperlink>
      <w:r w:rsidR="00DA688C">
        <w:rPr>
          <w:rFonts w:asciiTheme="minorBidi" w:hAnsiTheme="minorBidi" w:cstheme="minorBidi"/>
        </w:rPr>
        <w:t xml:space="preserve"> </w:t>
      </w:r>
    </w:p>
    <w:sectPr w:rsidR="00DA688C" w:rsidRPr="002E7329" w:rsidSect="0042244D">
      <w:headerReference w:type="default" r:id="rId14"/>
      <w:footerReference w:type="default" r:id="rId15"/>
      <w:footerReference w:type="first" r:id="rId16"/>
      <w:pgSz w:w="11900" w:h="16840"/>
      <w:pgMar w:top="567" w:right="1134" w:bottom="1530"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0E" w:rsidRDefault="0073410E">
      <w:r>
        <w:separator/>
      </w:r>
    </w:p>
    <w:p w:rsidR="0073410E" w:rsidRDefault="0073410E"/>
    <w:p w:rsidR="0073410E" w:rsidRDefault="0073410E"/>
  </w:endnote>
  <w:endnote w:type="continuationSeparator" w:id="0">
    <w:p w:rsidR="0073410E" w:rsidRDefault="0073410E">
      <w:r>
        <w:continuationSeparator/>
      </w:r>
    </w:p>
    <w:p w:rsidR="0073410E" w:rsidRDefault="0073410E"/>
    <w:p w:rsidR="0073410E" w:rsidRDefault="00734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Nyal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744142"/>
      <w:docPartObj>
        <w:docPartGallery w:val="Page Numbers (Bottom of Page)"/>
        <w:docPartUnique/>
      </w:docPartObj>
    </w:sdtPr>
    <w:sdtEndPr>
      <w:rPr>
        <w:noProof/>
      </w:rPr>
    </w:sdtEndPr>
    <w:sdtContent>
      <w:p w:rsidR="00814BF1" w:rsidRDefault="00814BF1">
        <w:pPr>
          <w:pStyle w:val="Footer"/>
          <w:jc w:val="right"/>
        </w:pPr>
        <w:r>
          <w:fldChar w:fldCharType="begin"/>
        </w:r>
        <w:r>
          <w:instrText xml:space="preserve"> PAGE   \* MERGEFORMAT </w:instrText>
        </w:r>
        <w:r>
          <w:fldChar w:fldCharType="separate"/>
        </w:r>
        <w:r w:rsidR="00C73239">
          <w:rPr>
            <w:noProof/>
          </w:rPr>
          <w:t>2</w:t>
        </w:r>
        <w:r>
          <w:rPr>
            <w:noProof/>
          </w:rPr>
          <w:fldChar w:fldCharType="end"/>
        </w:r>
      </w:p>
    </w:sdtContent>
  </w:sdt>
  <w:p w:rsidR="00E91D9D" w:rsidRDefault="00734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7216" behindDoc="0" locked="0" layoutInCell="1" allowOverlap="1" wp14:anchorId="39D3E112" wp14:editId="106E481C">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0E" w:rsidRDefault="0073410E">
      <w:r>
        <w:separator/>
      </w:r>
    </w:p>
    <w:p w:rsidR="0073410E" w:rsidRDefault="0073410E"/>
    <w:p w:rsidR="0073410E" w:rsidRDefault="0073410E"/>
  </w:footnote>
  <w:footnote w:type="continuationSeparator" w:id="0">
    <w:p w:rsidR="0073410E" w:rsidRDefault="0073410E">
      <w:r>
        <w:continuationSeparator/>
      </w:r>
    </w:p>
    <w:p w:rsidR="0073410E" w:rsidRDefault="0073410E"/>
    <w:p w:rsidR="0073410E" w:rsidRDefault="00734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DA688C">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C73239">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0001DF">
      <w:rPr>
        <w:rFonts w:ascii="Arial" w:hAnsi="Arial"/>
        <w:b/>
        <w:sz w:val="16"/>
      </w:rPr>
      <w:t>Concept Note: Disaster law disseminations in Vietnam</w:t>
    </w:r>
    <w:r>
      <w:rPr>
        <w:rFonts w:ascii="Arial" w:hAnsi="Arial"/>
        <w:b/>
        <w:sz w:val="16"/>
      </w:rPr>
      <w:t xml:space="preserve"> / </w:t>
    </w:r>
    <w:r w:rsidR="007275E2">
      <w:rPr>
        <w:rFonts w:ascii="Arial" w:hAnsi="Arial"/>
        <w:b/>
        <w:color w:val="FF0000"/>
        <w:sz w:val="16"/>
      </w:rPr>
      <w:t xml:space="preserve">Bangkok </w:t>
    </w:r>
    <w:r>
      <w:rPr>
        <w:rFonts w:ascii="Arial" w:hAnsi="Arial"/>
        <w:b/>
        <w:sz w:val="16"/>
      </w:rPr>
      <w:t xml:space="preserve">/ </w:t>
    </w:r>
    <w:r w:rsidR="00DA688C">
      <w:rPr>
        <w:rFonts w:ascii="Arial" w:hAnsi="Arial"/>
        <w:b/>
        <w:color w:val="7F7F7F"/>
        <w:sz w:val="16"/>
      </w:rPr>
      <w:t xml:space="preserve">June </w:t>
    </w:r>
    <w:r w:rsidR="00F04C67">
      <w:rPr>
        <w:rFonts w:ascii="Arial" w:hAnsi="Arial"/>
        <w:b/>
        <w:color w:val="7F7F7F"/>
        <w:sz w:val="16"/>
      </w:rPr>
      <w:t xml:space="preserve">2016 </w:t>
    </w:r>
  </w:p>
  <w:p w:rsidR="00E91D9D" w:rsidRDefault="007341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DEB"/>
    <w:multiLevelType w:val="hybridMultilevel"/>
    <w:tmpl w:val="19FA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D20BD"/>
    <w:multiLevelType w:val="hybridMultilevel"/>
    <w:tmpl w:val="9D9876D8"/>
    <w:lvl w:ilvl="0" w:tplc="D47C0F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766E2"/>
    <w:multiLevelType w:val="hybridMultilevel"/>
    <w:tmpl w:val="E25A1E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7911AF"/>
    <w:multiLevelType w:val="hybridMultilevel"/>
    <w:tmpl w:val="4B44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281F2B"/>
    <w:multiLevelType w:val="hybridMultilevel"/>
    <w:tmpl w:val="16D8E1A2"/>
    <w:lvl w:ilvl="0" w:tplc="20DABBF4">
      <w:start w:val="1"/>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DB5386"/>
    <w:multiLevelType w:val="hybridMultilevel"/>
    <w:tmpl w:val="F5BE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6E5202"/>
    <w:multiLevelType w:val="hybridMultilevel"/>
    <w:tmpl w:val="FEBAA9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num>
  <w:num w:numId="7">
    <w:abstractNumId w:val="3"/>
  </w:num>
  <w:num w:numId="8">
    <w:abstractNumId w:val="5"/>
  </w:num>
  <w:num w:numId="9">
    <w:abstractNumId w:val="1"/>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27"/>
    <w:rsid w:val="000001DF"/>
    <w:rsid w:val="00002DA8"/>
    <w:rsid w:val="00026320"/>
    <w:rsid w:val="00037AF8"/>
    <w:rsid w:val="000459FB"/>
    <w:rsid w:val="000530FE"/>
    <w:rsid w:val="00081C10"/>
    <w:rsid w:val="00083641"/>
    <w:rsid w:val="00083DFE"/>
    <w:rsid w:val="000B7267"/>
    <w:rsid w:val="000C52F3"/>
    <w:rsid w:val="000D4220"/>
    <w:rsid w:val="000D731B"/>
    <w:rsid w:val="000E4996"/>
    <w:rsid w:val="000F2D33"/>
    <w:rsid w:val="000F5259"/>
    <w:rsid w:val="000F59CE"/>
    <w:rsid w:val="00102F65"/>
    <w:rsid w:val="00103E01"/>
    <w:rsid w:val="00112EC1"/>
    <w:rsid w:val="0011418E"/>
    <w:rsid w:val="00114ED7"/>
    <w:rsid w:val="00126FC0"/>
    <w:rsid w:val="00133D00"/>
    <w:rsid w:val="0013442C"/>
    <w:rsid w:val="0017662A"/>
    <w:rsid w:val="001853DF"/>
    <w:rsid w:val="001861F0"/>
    <w:rsid w:val="00187813"/>
    <w:rsid w:val="0019480B"/>
    <w:rsid w:val="001A26A4"/>
    <w:rsid w:val="001A5533"/>
    <w:rsid w:val="001A7765"/>
    <w:rsid w:val="001B074B"/>
    <w:rsid w:val="001B12E2"/>
    <w:rsid w:val="001B54A9"/>
    <w:rsid w:val="001F76DA"/>
    <w:rsid w:val="0022415F"/>
    <w:rsid w:val="00240469"/>
    <w:rsid w:val="00250E5E"/>
    <w:rsid w:val="002530F0"/>
    <w:rsid w:val="0026189B"/>
    <w:rsid w:val="00266467"/>
    <w:rsid w:val="00281B1B"/>
    <w:rsid w:val="002942E3"/>
    <w:rsid w:val="002B5463"/>
    <w:rsid w:val="002B72AB"/>
    <w:rsid w:val="002B7D4F"/>
    <w:rsid w:val="002C24AB"/>
    <w:rsid w:val="002D4DBF"/>
    <w:rsid w:val="002D7808"/>
    <w:rsid w:val="002E251D"/>
    <w:rsid w:val="002E729C"/>
    <w:rsid w:val="002E7329"/>
    <w:rsid w:val="0030010F"/>
    <w:rsid w:val="0030354B"/>
    <w:rsid w:val="0031024E"/>
    <w:rsid w:val="00325EE1"/>
    <w:rsid w:val="003355A2"/>
    <w:rsid w:val="0034031E"/>
    <w:rsid w:val="00341EA7"/>
    <w:rsid w:val="00345E5D"/>
    <w:rsid w:val="003463AD"/>
    <w:rsid w:val="00351730"/>
    <w:rsid w:val="00370B77"/>
    <w:rsid w:val="00372EAE"/>
    <w:rsid w:val="00373C19"/>
    <w:rsid w:val="003834B5"/>
    <w:rsid w:val="00384513"/>
    <w:rsid w:val="003B36C6"/>
    <w:rsid w:val="003D0157"/>
    <w:rsid w:val="0042244D"/>
    <w:rsid w:val="00443174"/>
    <w:rsid w:val="00461261"/>
    <w:rsid w:val="00475756"/>
    <w:rsid w:val="00493DB3"/>
    <w:rsid w:val="004953BB"/>
    <w:rsid w:val="004A1A72"/>
    <w:rsid w:val="004B4D53"/>
    <w:rsid w:val="004F0C29"/>
    <w:rsid w:val="004F0CD4"/>
    <w:rsid w:val="004F2056"/>
    <w:rsid w:val="005022A1"/>
    <w:rsid w:val="00505F91"/>
    <w:rsid w:val="00531DE3"/>
    <w:rsid w:val="00532DDC"/>
    <w:rsid w:val="00546A06"/>
    <w:rsid w:val="00550D07"/>
    <w:rsid w:val="005563F5"/>
    <w:rsid w:val="00565C00"/>
    <w:rsid w:val="005854A3"/>
    <w:rsid w:val="005C2EF3"/>
    <w:rsid w:val="005D0A0E"/>
    <w:rsid w:val="005D2A25"/>
    <w:rsid w:val="005D374D"/>
    <w:rsid w:val="00603388"/>
    <w:rsid w:val="006037C6"/>
    <w:rsid w:val="006145D6"/>
    <w:rsid w:val="00621016"/>
    <w:rsid w:val="00626662"/>
    <w:rsid w:val="00650BB9"/>
    <w:rsid w:val="0066614A"/>
    <w:rsid w:val="00671490"/>
    <w:rsid w:val="0069694D"/>
    <w:rsid w:val="006A1FF9"/>
    <w:rsid w:val="006B7908"/>
    <w:rsid w:val="006C7BAA"/>
    <w:rsid w:val="006D7E48"/>
    <w:rsid w:val="006E2105"/>
    <w:rsid w:val="006E71F3"/>
    <w:rsid w:val="0071511F"/>
    <w:rsid w:val="007227C1"/>
    <w:rsid w:val="007275E2"/>
    <w:rsid w:val="00731715"/>
    <w:rsid w:val="0073410E"/>
    <w:rsid w:val="00741E45"/>
    <w:rsid w:val="00744260"/>
    <w:rsid w:val="00747620"/>
    <w:rsid w:val="00750725"/>
    <w:rsid w:val="00751F37"/>
    <w:rsid w:val="007559A2"/>
    <w:rsid w:val="007711A9"/>
    <w:rsid w:val="0077295B"/>
    <w:rsid w:val="00775320"/>
    <w:rsid w:val="00780491"/>
    <w:rsid w:val="00791528"/>
    <w:rsid w:val="007B0FDE"/>
    <w:rsid w:val="007C55AD"/>
    <w:rsid w:val="007C6834"/>
    <w:rsid w:val="007D0893"/>
    <w:rsid w:val="007E018C"/>
    <w:rsid w:val="007E21A8"/>
    <w:rsid w:val="007F5CD6"/>
    <w:rsid w:val="007F6BD2"/>
    <w:rsid w:val="0080226C"/>
    <w:rsid w:val="00804489"/>
    <w:rsid w:val="008131A2"/>
    <w:rsid w:val="00814041"/>
    <w:rsid w:val="00814BF1"/>
    <w:rsid w:val="0081675F"/>
    <w:rsid w:val="008356F5"/>
    <w:rsid w:val="00853EC2"/>
    <w:rsid w:val="008614B0"/>
    <w:rsid w:val="008748B8"/>
    <w:rsid w:val="00885581"/>
    <w:rsid w:val="008868CC"/>
    <w:rsid w:val="008919E3"/>
    <w:rsid w:val="00893004"/>
    <w:rsid w:val="0089580C"/>
    <w:rsid w:val="008A2FC0"/>
    <w:rsid w:val="008A3E99"/>
    <w:rsid w:val="008A44ED"/>
    <w:rsid w:val="008B4521"/>
    <w:rsid w:val="008C5426"/>
    <w:rsid w:val="008D1864"/>
    <w:rsid w:val="008F5C8B"/>
    <w:rsid w:val="008F6EF0"/>
    <w:rsid w:val="00904FB2"/>
    <w:rsid w:val="009615D8"/>
    <w:rsid w:val="00984F12"/>
    <w:rsid w:val="00986E55"/>
    <w:rsid w:val="009A4093"/>
    <w:rsid w:val="009B3D61"/>
    <w:rsid w:val="009B5582"/>
    <w:rsid w:val="009C1A50"/>
    <w:rsid w:val="009C6A6B"/>
    <w:rsid w:val="009D3D3E"/>
    <w:rsid w:val="009D655D"/>
    <w:rsid w:val="00A27283"/>
    <w:rsid w:val="00A3175E"/>
    <w:rsid w:val="00A42699"/>
    <w:rsid w:val="00A53EBB"/>
    <w:rsid w:val="00A5522B"/>
    <w:rsid w:val="00A81026"/>
    <w:rsid w:val="00A836A6"/>
    <w:rsid w:val="00AA131D"/>
    <w:rsid w:val="00AA3E46"/>
    <w:rsid w:val="00AC289D"/>
    <w:rsid w:val="00AD379B"/>
    <w:rsid w:val="00B00E87"/>
    <w:rsid w:val="00B023F3"/>
    <w:rsid w:val="00B026AC"/>
    <w:rsid w:val="00B03C25"/>
    <w:rsid w:val="00B12521"/>
    <w:rsid w:val="00B54D59"/>
    <w:rsid w:val="00B57AFB"/>
    <w:rsid w:val="00B72088"/>
    <w:rsid w:val="00B7389E"/>
    <w:rsid w:val="00B86394"/>
    <w:rsid w:val="00B90E19"/>
    <w:rsid w:val="00BA70A8"/>
    <w:rsid w:val="00BB0E6E"/>
    <w:rsid w:val="00BB3E78"/>
    <w:rsid w:val="00BB4020"/>
    <w:rsid w:val="00BB623A"/>
    <w:rsid w:val="00BC1338"/>
    <w:rsid w:val="00BE19C6"/>
    <w:rsid w:val="00BF3E22"/>
    <w:rsid w:val="00BF7226"/>
    <w:rsid w:val="00C0455D"/>
    <w:rsid w:val="00C104A8"/>
    <w:rsid w:val="00C23A08"/>
    <w:rsid w:val="00C52227"/>
    <w:rsid w:val="00C604C8"/>
    <w:rsid w:val="00C7216F"/>
    <w:rsid w:val="00C73239"/>
    <w:rsid w:val="00CB0260"/>
    <w:rsid w:val="00CB1723"/>
    <w:rsid w:val="00CC0EB9"/>
    <w:rsid w:val="00CD4656"/>
    <w:rsid w:val="00CD48BD"/>
    <w:rsid w:val="00CD4C89"/>
    <w:rsid w:val="00CF74AA"/>
    <w:rsid w:val="00D15530"/>
    <w:rsid w:val="00D1711A"/>
    <w:rsid w:val="00D270AF"/>
    <w:rsid w:val="00D700B7"/>
    <w:rsid w:val="00D9182E"/>
    <w:rsid w:val="00D93350"/>
    <w:rsid w:val="00D942DD"/>
    <w:rsid w:val="00D96E19"/>
    <w:rsid w:val="00DA189F"/>
    <w:rsid w:val="00DA688C"/>
    <w:rsid w:val="00DC1516"/>
    <w:rsid w:val="00DD7AD4"/>
    <w:rsid w:val="00E02E64"/>
    <w:rsid w:val="00E06260"/>
    <w:rsid w:val="00E11253"/>
    <w:rsid w:val="00E13391"/>
    <w:rsid w:val="00E247A1"/>
    <w:rsid w:val="00E333EB"/>
    <w:rsid w:val="00E50089"/>
    <w:rsid w:val="00E5409C"/>
    <w:rsid w:val="00E55F79"/>
    <w:rsid w:val="00E64488"/>
    <w:rsid w:val="00E7452D"/>
    <w:rsid w:val="00E80FF5"/>
    <w:rsid w:val="00E815D9"/>
    <w:rsid w:val="00E952C6"/>
    <w:rsid w:val="00E96F14"/>
    <w:rsid w:val="00EA3885"/>
    <w:rsid w:val="00EA47AE"/>
    <w:rsid w:val="00EC1A15"/>
    <w:rsid w:val="00EC60AC"/>
    <w:rsid w:val="00EC6B1E"/>
    <w:rsid w:val="00EE0C9A"/>
    <w:rsid w:val="00F0001F"/>
    <w:rsid w:val="00F04C67"/>
    <w:rsid w:val="00F05954"/>
    <w:rsid w:val="00F21C48"/>
    <w:rsid w:val="00F23E98"/>
    <w:rsid w:val="00F43BD4"/>
    <w:rsid w:val="00F456C0"/>
    <w:rsid w:val="00F66632"/>
    <w:rsid w:val="00F82683"/>
    <w:rsid w:val="00F912AE"/>
    <w:rsid w:val="00F94139"/>
    <w:rsid w:val="00F94B3D"/>
    <w:rsid w:val="00FB1BA1"/>
    <w:rsid w:val="00FC2A9F"/>
    <w:rsid w:val="00FC7A0C"/>
    <w:rsid w:val="00FC7F40"/>
    <w:rsid w:val="00FD47C7"/>
    <w:rsid w:val="00FD5BA5"/>
    <w:rsid w:val="00FF07A7"/>
    <w:rsid w:val="00FF26A7"/>
    <w:rsid w:val="00FF3387"/>
    <w:rsid w:val="00FF4AF4"/>
    <w:rsid w:val="00FF570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sdException w:name="Normal (Web)" w:uiPriority="9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081C10"/>
    <w:pPr>
      <w:ind w:left="720"/>
      <w:contextualSpacing/>
    </w:pPr>
  </w:style>
  <w:style w:type="table" w:styleId="TableGrid">
    <w:name w:val="Table Grid"/>
    <w:basedOn w:val="TableNormal"/>
    <w:rsid w:val="0075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1490"/>
    <w:pPr>
      <w:spacing w:before="0"/>
    </w:pPr>
    <w:rPr>
      <w:rFonts w:ascii="Tahoma" w:hAnsi="Tahoma" w:cs="Tahoma"/>
      <w:sz w:val="16"/>
      <w:szCs w:val="16"/>
    </w:rPr>
  </w:style>
  <w:style w:type="character" w:customStyle="1" w:styleId="BalloonTextChar">
    <w:name w:val="Balloon Text Char"/>
    <w:basedOn w:val="DefaultParagraphFont"/>
    <w:link w:val="BalloonText"/>
    <w:rsid w:val="00671490"/>
    <w:rPr>
      <w:rFonts w:ascii="Tahoma" w:hAnsi="Tahoma" w:cs="Tahoma"/>
      <w:sz w:val="16"/>
      <w:szCs w:val="16"/>
    </w:rPr>
  </w:style>
  <w:style w:type="paragraph" w:styleId="NormalWeb">
    <w:name w:val="Normal (Web)"/>
    <w:basedOn w:val="Normal"/>
    <w:uiPriority w:val="99"/>
    <w:unhideWhenUsed/>
    <w:rsid w:val="00F04C67"/>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basedOn w:val="DefaultParagraphFont"/>
    <w:rsid w:val="00F04C67"/>
  </w:style>
  <w:style w:type="character" w:customStyle="1" w:styleId="toctoggle">
    <w:name w:val="toctoggle"/>
    <w:basedOn w:val="DefaultParagraphFont"/>
    <w:rsid w:val="00F04C67"/>
  </w:style>
  <w:style w:type="character" w:customStyle="1" w:styleId="tocnumber">
    <w:name w:val="tocnumber"/>
    <w:basedOn w:val="DefaultParagraphFont"/>
    <w:rsid w:val="00F04C67"/>
  </w:style>
  <w:style w:type="character" w:customStyle="1" w:styleId="toctext">
    <w:name w:val="toctext"/>
    <w:basedOn w:val="DefaultParagraphFont"/>
    <w:rsid w:val="00F04C67"/>
  </w:style>
  <w:style w:type="character" w:customStyle="1" w:styleId="mw-headline">
    <w:name w:val="mw-headline"/>
    <w:basedOn w:val="DefaultParagraphFont"/>
    <w:rsid w:val="00F04C67"/>
  </w:style>
  <w:style w:type="character" w:customStyle="1" w:styleId="mw-editsection">
    <w:name w:val="mw-editsection"/>
    <w:basedOn w:val="DefaultParagraphFont"/>
    <w:rsid w:val="00F04C67"/>
  </w:style>
  <w:style w:type="character" w:customStyle="1" w:styleId="mw-editsection-bracket">
    <w:name w:val="mw-editsection-bracket"/>
    <w:basedOn w:val="DefaultParagraphFont"/>
    <w:rsid w:val="00F04C67"/>
  </w:style>
  <w:style w:type="character" w:styleId="CommentReference">
    <w:name w:val="annotation reference"/>
    <w:basedOn w:val="DefaultParagraphFont"/>
    <w:rsid w:val="00E80FF5"/>
    <w:rPr>
      <w:sz w:val="16"/>
      <w:szCs w:val="16"/>
    </w:rPr>
  </w:style>
  <w:style w:type="paragraph" w:styleId="CommentText">
    <w:name w:val="annotation text"/>
    <w:basedOn w:val="Normal"/>
    <w:link w:val="CommentTextChar"/>
    <w:rsid w:val="00E80FF5"/>
    <w:rPr>
      <w:sz w:val="20"/>
      <w:szCs w:val="20"/>
    </w:rPr>
  </w:style>
  <w:style w:type="character" w:customStyle="1" w:styleId="CommentTextChar">
    <w:name w:val="Comment Text Char"/>
    <w:basedOn w:val="DefaultParagraphFont"/>
    <w:link w:val="CommentText"/>
    <w:rsid w:val="00E80FF5"/>
    <w:rPr>
      <w:rFonts w:ascii="Arial" w:hAnsi="Arial"/>
    </w:rPr>
  </w:style>
  <w:style w:type="paragraph" w:styleId="CommentSubject">
    <w:name w:val="annotation subject"/>
    <w:basedOn w:val="CommentText"/>
    <w:next w:val="CommentText"/>
    <w:link w:val="CommentSubjectChar"/>
    <w:rsid w:val="00E80FF5"/>
    <w:rPr>
      <w:b/>
      <w:bCs/>
    </w:rPr>
  </w:style>
  <w:style w:type="character" w:customStyle="1" w:styleId="CommentSubjectChar">
    <w:name w:val="Comment Subject Char"/>
    <w:basedOn w:val="CommentTextChar"/>
    <w:link w:val="CommentSubject"/>
    <w:rsid w:val="00E80FF5"/>
    <w:rPr>
      <w:rFonts w:ascii="Arial" w:hAnsi="Arial"/>
      <w:b/>
      <w:bCs/>
    </w:rPr>
  </w:style>
  <w:style w:type="paragraph" w:styleId="FootnoteText">
    <w:name w:val="footnote text"/>
    <w:basedOn w:val="Normal"/>
    <w:link w:val="FootnoteTextChar"/>
    <w:rsid w:val="008F6EF0"/>
    <w:pPr>
      <w:spacing w:before="0"/>
    </w:pPr>
    <w:rPr>
      <w:sz w:val="20"/>
      <w:szCs w:val="20"/>
    </w:rPr>
  </w:style>
  <w:style w:type="character" w:customStyle="1" w:styleId="FootnoteTextChar">
    <w:name w:val="Footnote Text Char"/>
    <w:basedOn w:val="DefaultParagraphFont"/>
    <w:link w:val="FootnoteText"/>
    <w:rsid w:val="008F6EF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sdException w:name="Normal (Web)" w:uiPriority="9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081C10"/>
    <w:pPr>
      <w:ind w:left="720"/>
      <w:contextualSpacing/>
    </w:pPr>
  </w:style>
  <w:style w:type="table" w:styleId="TableGrid">
    <w:name w:val="Table Grid"/>
    <w:basedOn w:val="TableNormal"/>
    <w:rsid w:val="0075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1490"/>
    <w:pPr>
      <w:spacing w:before="0"/>
    </w:pPr>
    <w:rPr>
      <w:rFonts w:ascii="Tahoma" w:hAnsi="Tahoma" w:cs="Tahoma"/>
      <w:sz w:val="16"/>
      <w:szCs w:val="16"/>
    </w:rPr>
  </w:style>
  <w:style w:type="character" w:customStyle="1" w:styleId="BalloonTextChar">
    <w:name w:val="Balloon Text Char"/>
    <w:basedOn w:val="DefaultParagraphFont"/>
    <w:link w:val="BalloonText"/>
    <w:rsid w:val="00671490"/>
    <w:rPr>
      <w:rFonts w:ascii="Tahoma" w:hAnsi="Tahoma" w:cs="Tahoma"/>
      <w:sz w:val="16"/>
      <w:szCs w:val="16"/>
    </w:rPr>
  </w:style>
  <w:style w:type="paragraph" w:styleId="NormalWeb">
    <w:name w:val="Normal (Web)"/>
    <w:basedOn w:val="Normal"/>
    <w:uiPriority w:val="99"/>
    <w:unhideWhenUsed/>
    <w:rsid w:val="00F04C67"/>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basedOn w:val="DefaultParagraphFont"/>
    <w:rsid w:val="00F04C67"/>
  </w:style>
  <w:style w:type="character" w:customStyle="1" w:styleId="toctoggle">
    <w:name w:val="toctoggle"/>
    <w:basedOn w:val="DefaultParagraphFont"/>
    <w:rsid w:val="00F04C67"/>
  </w:style>
  <w:style w:type="character" w:customStyle="1" w:styleId="tocnumber">
    <w:name w:val="tocnumber"/>
    <w:basedOn w:val="DefaultParagraphFont"/>
    <w:rsid w:val="00F04C67"/>
  </w:style>
  <w:style w:type="character" w:customStyle="1" w:styleId="toctext">
    <w:name w:val="toctext"/>
    <w:basedOn w:val="DefaultParagraphFont"/>
    <w:rsid w:val="00F04C67"/>
  </w:style>
  <w:style w:type="character" w:customStyle="1" w:styleId="mw-headline">
    <w:name w:val="mw-headline"/>
    <w:basedOn w:val="DefaultParagraphFont"/>
    <w:rsid w:val="00F04C67"/>
  </w:style>
  <w:style w:type="character" w:customStyle="1" w:styleId="mw-editsection">
    <w:name w:val="mw-editsection"/>
    <w:basedOn w:val="DefaultParagraphFont"/>
    <w:rsid w:val="00F04C67"/>
  </w:style>
  <w:style w:type="character" w:customStyle="1" w:styleId="mw-editsection-bracket">
    <w:name w:val="mw-editsection-bracket"/>
    <w:basedOn w:val="DefaultParagraphFont"/>
    <w:rsid w:val="00F04C67"/>
  </w:style>
  <w:style w:type="character" w:styleId="CommentReference">
    <w:name w:val="annotation reference"/>
    <w:basedOn w:val="DefaultParagraphFont"/>
    <w:rsid w:val="00E80FF5"/>
    <w:rPr>
      <w:sz w:val="16"/>
      <w:szCs w:val="16"/>
    </w:rPr>
  </w:style>
  <w:style w:type="paragraph" w:styleId="CommentText">
    <w:name w:val="annotation text"/>
    <w:basedOn w:val="Normal"/>
    <w:link w:val="CommentTextChar"/>
    <w:rsid w:val="00E80FF5"/>
    <w:rPr>
      <w:sz w:val="20"/>
      <w:szCs w:val="20"/>
    </w:rPr>
  </w:style>
  <w:style w:type="character" w:customStyle="1" w:styleId="CommentTextChar">
    <w:name w:val="Comment Text Char"/>
    <w:basedOn w:val="DefaultParagraphFont"/>
    <w:link w:val="CommentText"/>
    <w:rsid w:val="00E80FF5"/>
    <w:rPr>
      <w:rFonts w:ascii="Arial" w:hAnsi="Arial"/>
    </w:rPr>
  </w:style>
  <w:style w:type="paragraph" w:styleId="CommentSubject">
    <w:name w:val="annotation subject"/>
    <w:basedOn w:val="CommentText"/>
    <w:next w:val="CommentText"/>
    <w:link w:val="CommentSubjectChar"/>
    <w:rsid w:val="00E80FF5"/>
    <w:rPr>
      <w:b/>
      <w:bCs/>
    </w:rPr>
  </w:style>
  <w:style w:type="character" w:customStyle="1" w:styleId="CommentSubjectChar">
    <w:name w:val="Comment Subject Char"/>
    <w:basedOn w:val="CommentTextChar"/>
    <w:link w:val="CommentSubject"/>
    <w:rsid w:val="00E80FF5"/>
    <w:rPr>
      <w:rFonts w:ascii="Arial" w:hAnsi="Arial"/>
      <w:b/>
      <w:bCs/>
    </w:rPr>
  </w:style>
  <w:style w:type="paragraph" w:styleId="FootnoteText">
    <w:name w:val="footnote text"/>
    <w:basedOn w:val="Normal"/>
    <w:link w:val="FootnoteTextChar"/>
    <w:rsid w:val="008F6EF0"/>
    <w:pPr>
      <w:spacing w:before="0"/>
    </w:pPr>
    <w:rPr>
      <w:sz w:val="20"/>
      <w:szCs w:val="20"/>
    </w:rPr>
  </w:style>
  <w:style w:type="character" w:customStyle="1" w:styleId="FootnoteTextChar">
    <w:name w:val="Footnote Text Char"/>
    <w:basedOn w:val="DefaultParagraphFont"/>
    <w:link w:val="FootnoteText"/>
    <w:rsid w:val="008F6E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39184">
      <w:bodyDiv w:val="1"/>
      <w:marLeft w:val="0"/>
      <w:marRight w:val="0"/>
      <w:marTop w:val="0"/>
      <w:marBottom w:val="0"/>
      <w:divBdr>
        <w:top w:val="none" w:sz="0" w:space="0" w:color="auto"/>
        <w:left w:val="none" w:sz="0" w:space="0" w:color="auto"/>
        <w:bottom w:val="none" w:sz="0" w:space="0" w:color="auto"/>
        <w:right w:val="none" w:sz="0" w:space="0" w:color="auto"/>
      </w:divBdr>
    </w:div>
    <w:div w:id="616907181">
      <w:bodyDiv w:val="1"/>
      <w:marLeft w:val="0"/>
      <w:marRight w:val="0"/>
      <w:marTop w:val="0"/>
      <w:marBottom w:val="0"/>
      <w:divBdr>
        <w:top w:val="none" w:sz="0" w:space="0" w:color="auto"/>
        <w:left w:val="none" w:sz="0" w:space="0" w:color="auto"/>
        <w:bottom w:val="none" w:sz="0" w:space="0" w:color="auto"/>
        <w:right w:val="none" w:sz="0" w:space="0" w:color="auto"/>
      </w:divBdr>
    </w:div>
    <w:div w:id="706292819">
      <w:bodyDiv w:val="1"/>
      <w:marLeft w:val="0"/>
      <w:marRight w:val="0"/>
      <w:marTop w:val="0"/>
      <w:marBottom w:val="0"/>
      <w:divBdr>
        <w:top w:val="none" w:sz="0" w:space="0" w:color="auto"/>
        <w:left w:val="none" w:sz="0" w:space="0" w:color="auto"/>
        <w:bottom w:val="none" w:sz="0" w:space="0" w:color="auto"/>
        <w:right w:val="none" w:sz="0" w:space="0" w:color="auto"/>
      </w:divBdr>
    </w:div>
    <w:div w:id="1691494912">
      <w:bodyDiv w:val="1"/>
      <w:marLeft w:val="0"/>
      <w:marRight w:val="0"/>
      <w:marTop w:val="0"/>
      <w:marBottom w:val="0"/>
      <w:divBdr>
        <w:top w:val="none" w:sz="0" w:space="0" w:color="auto"/>
        <w:left w:val="none" w:sz="0" w:space="0" w:color="auto"/>
        <w:bottom w:val="none" w:sz="0" w:space="0" w:color="auto"/>
        <w:right w:val="none" w:sz="0" w:space="0" w:color="auto"/>
      </w:divBdr>
      <w:divsChild>
        <w:div w:id="144712259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onghongthuy@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cia.cipullo@ifr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cross.org.vn/redcross2/vn/home/index.j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rr-law.org" TargetMode="External"/><Relationship Id="rId4" Type="http://schemas.microsoft.com/office/2007/relationships/stylesWithEffects" Target="stylesWithEffects.xml"/><Relationship Id="rId9" Type="http://schemas.openxmlformats.org/officeDocument/2006/relationships/hyperlink" Target="http://www.ifrc.org/d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ejean.smith\Dropbox\IFRC\Guidelines%20&amp;%20Templates\_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DB9C-E139-469A-85A4-8F00CFF3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_IFRC-generic-template-EN.dotx</Template>
  <TotalTime>3</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KateJean Smith</dc:creator>
  <cp:lastModifiedBy>Angeline Tandiono</cp:lastModifiedBy>
  <cp:revision>2</cp:revision>
  <cp:lastPrinted>2016-03-07T02:18:00Z</cp:lastPrinted>
  <dcterms:created xsi:type="dcterms:W3CDTF">2016-11-09T06:56:00Z</dcterms:created>
  <dcterms:modified xsi:type="dcterms:W3CDTF">2016-11-09T06:56:00Z</dcterms:modified>
</cp:coreProperties>
</file>