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956" w:rsidRDefault="000B12D2">
      <w:pPr>
        <w:pStyle w:val="Normal1"/>
        <w:jc w:val="center"/>
      </w:pPr>
      <w:bookmarkStart w:id="0" w:name="_GoBack"/>
      <w:bookmarkEnd w:id="0"/>
      <w:r>
        <w:rPr>
          <w:b/>
          <w:sz w:val="28"/>
          <w:szCs w:val="28"/>
        </w:rPr>
        <w:t>Minutes</w:t>
      </w:r>
    </w:p>
    <w:p w:rsidR="006B0956" w:rsidRDefault="000B12D2">
      <w:pPr>
        <w:pStyle w:val="Normal1"/>
        <w:jc w:val="center"/>
      </w:pPr>
      <w:r>
        <w:rPr>
          <w:b/>
          <w:sz w:val="28"/>
          <w:szCs w:val="28"/>
        </w:rPr>
        <w:t>11</w:t>
      </w:r>
      <w:r>
        <w:rPr>
          <w:b/>
          <w:sz w:val="28"/>
          <w:szCs w:val="28"/>
          <w:vertAlign w:val="superscript"/>
        </w:rPr>
        <w:t>th</w:t>
      </w:r>
      <w:r>
        <w:rPr>
          <w:b/>
          <w:sz w:val="28"/>
          <w:szCs w:val="28"/>
        </w:rPr>
        <w:t xml:space="preserve"> SEAYN Online Meeting</w:t>
      </w:r>
    </w:p>
    <w:p w:rsidR="006B0956" w:rsidRDefault="000B12D2">
      <w:pPr>
        <w:pStyle w:val="Normal1"/>
        <w:jc w:val="center"/>
      </w:pPr>
      <w:r>
        <w:rPr>
          <w:sz w:val="20"/>
          <w:szCs w:val="20"/>
          <w:highlight w:val="white"/>
        </w:rPr>
        <w:t>10 March 2016, 3pm - 5.50pm, Bangkok Time</w:t>
      </w:r>
    </w:p>
    <w:p w:rsidR="006B0956" w:rsidRDefault="000B12D2">
      <w:pPr>
        <w:pStyle w:val="Normal1"/>
      </w:pPr>
      <w:r>
        <w:rPr>
          <w:sz w:val="20"/>
          <w:szCs w:val="20"/>
        </w:rPr>
        <w:t xml:space="preserve"> </w:t>
      </w:r>
    </w:p>
    <w:p w:rsidR="006B0956" w:rsidRDefault="000B12D2">
      <w:pPr>
        <w:pStyle w:val="Normal1"/>
        <w:ind w:firstLine="360"/>
        <w:jc w:val="both"/>
      </w:pPr>
      <w:r>
        <w:rPr>
          <w:i/>
          <w:sz w:val="20"/>
          <w:szCs w:val="20"/>
          <w:u w:val="single"/>
        </w:rPr>
        <w:t>Attendees:</w:t>
      </w:r>
      <w:r>
        <w:rPr>
          <w:i/>
          <w:sz w:val="20"/>
          <w:szCs w:val="20"/>
        </w:rPr>
        <w:t xml:space="preserve">         </w:t>
      </w:r>
      <w:r>
        <w:rPr>
          <w:i/>
          <w:sz w:val="20"/>
          <w:szCs w:val="20"/>
        </w:rPr>
        <w:tab/>
      </w:r>
    </w:p>
    <w:p w:rsidR="006B0956" w:rsidRDefault="006B0956">
      <w:pPr>
        <w:pStyle w:val="Normal1"/>
      </w:pP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Rouert</w:t>
      </w:r>
      <w:proofErr w:type="spellEnd"/>
      <w:r>
        <w:rPr>
          <w:sz w:val="20"/>
          <w:szCs w:val="20"/>
          <w:highlight w:val="white"/>
        </w:rPr>
        <w:t xml:space="preserve"> </w:t>
      </w:r>
      <w:proofErr w:type="spellStart"/>
      <w:r>
        <w:rPr>
          <w:sz w:val="20"/>
          <w:szCs w:val="20"/>
          <w:highlight w:val="white"/>
        </w:rPr>
        <w:t>Sokhon</w:t>
      </w:r>
      <w:proofErr w:type="spellEnd"/>
      <w:r>
        <w:rPr>
          <w:sz w:val="20"/>
          <w:szCs w:val="20"/>
          <w:highlight w:val="white"/>
        </w:rPr>
        <w:t>, Cambodian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Doddy</w:t>
      </w:r>
      <w:proofErr w:type="spellEnd"/>
      <w:r>
        <w:rPr>
          <w:sz w:val="20"/>
          <w:szCs w:val="20"/>
          <w:highlight w:val="white"/>
        </w:rPr>
        <w:t xml:space="preserve"> </w:t>
      </w:r>
      <w:proofErr w:type="spellStart"/>
      <w:r>
        <w:rPr>
          <w:sz w:val="20"/>
          <w:szCs w:val="20"/>
          <w:highlight w:val="white"/>
        </w:rPr>
        <w:t>Alfitra</w:t>
      </w:r>
      <w:proofErr w:type="spellEnd"/>
      <w:r>
        <w:rPr>
          <w:sz w:val="20"/>
          <w:szCs w:val="20"/>
          <w:highlight w:val="white"/>
        </w:rPr>
        <w:t>, Indonesian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Hnin</w:t>
      </w:r>
      <w:proofErr w:type="spellEnd"/>
      <w:r>
        <w:rPr>
          <w:sz w:val="20"/>
          <w:szCs w:val="20"/>
          <w:highlight w:val="white"/>
        </w:rPr>
        <w:t xml:space="preserve"> </w:t>
      </w:r>
      <w:proofErr w:type="spellStart"/>
      <w:r>
        <w:rPr>
          <w:sz w:val="20"/>
          <w:szCs w:val="20"/>
          <w:highlight w:val="white"/>
        </w:rPr>
        <w:t>Phyu</w:t>
      </w:r>
      <w:proofErr w:type="spellEnd"/>
      <w:r>
        <w:rPr>
          <w:sz w:val="20"/>
          <w:szCs w:val="20"/>
          <w:highlight w:val="white"/>
        </w:rPr>
        <w:t xml:space="preserve"> </w:t>
      </w:r>
      <w:proofErr w:type="spellStart"/>
      <w:r>
        <w:rPr>
          <w:sz w:val="20"/>
          <w:szCs w:val="20"/>
          <w:highlight w:val="white"/>
        </w:rPr>
        <w:t>Phyu</w:t>
      </w:r>
      <w:proofErr w:type="spellEnd"/>
      <w:r>
        <w:rPr>
          <w:sz w:val="20"/>
          <w:szCs w:val="20"/>
          <w:highlight w:val="white"/>
        </w:rPr>
        <w:t xml:space="preserve"> </w:t>
      </w:r>
      <w:proofErr w:type="spellStart"/>
      <w:r>
        <w:rPr>
          <w:sz w:val="20"/>
          <w:szCs w:val="20"/>
          <w:highlight w:val="white"/>
        </w:rPr>
        <w:t>Myint</w:t>
      </w:r>
      <w:proofErr w:type="spellEnd"/>
      <w:r>
        <w:rPr>
          <w:sz w:val="20"/>
          <w:szCs w:val="20"/>
          <w:highlight w:val="white"/>
        </w:rPr>
        <w:t>, Myanmar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Sahari</w:t>
      </w:r>
      <w:proofErr w:type="spellEnd"/>
      <w:r>
        <w:rPr>
          <w:sz w:val="20"/>
          <w:szCs w:val="20"/>
          <w:highlight w:val="white"/>
        </w:rPr>
        <w:t xml:space="preserve"> Ani, Singapore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Tilynn</w:t>
      </w:r>
      <w:proofErr w:type="spellEnd"/>
      <w:r>
        <w:rPr>
          <w:sz w:val="20"/>
          <w:szCs w:val="20"/>
          <w:highlight w:val="white"/>
        </w:rPr>
        <w:t xml:space="preserve"> Low, Singapore RC</w:t>
      </w:r>
    </w:p>
    <w:p w:rsidR="006B0956" w:rsidRDefault="000B12D2">
      <w:pPr>
        <w:pStyle w:val="Normal1"/>
        <w:numPr>
          <w:ilvl w:val="0"/>
          <w:numId w:val="7"/>
        </w:numPr>
        <w:ind w:hanging="360"/>
        <w:contextualSpacing/>
        <w:rPr>
          <w:sz w:val="20"/>
          <w:szCs w:val="20"/>
          <w:highlight w:val="white"/>
        </w:rPr>
      </w:pPr>
      <w:r>
        <w:rPr>
          <w:sz w:val="20"/>
          <w:szCs w:val="20"/>
          <w:highlight w:val="white"/>
        </w:rPr>
        <w:t>Muhammad Zaidi, Singapore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Kumju</w:t>
      </w:r>
      <w:proofErr w:type="spellEnd"/>
      <w:r>
        <w:rPr>
          <w:sz w:val="20"/>
          <w:szCs w:val="20"/>
          <w:highlight w:val="white"/>
        </w:rPr>
        <w:t xml:space="preserve"> </w:t>
      </w:r>
      <w:proofErr w:type="spellStart"/>
      <w:r>
        <w:rPr>
          <w:sz w:val="20"/>
          <w:szCs w:val="20"/>
          <w:highlight w:val="white"/>
        </w:rPr>
        <w:t>Ho</w:t>
      </w:r>
      <w:proofErr w:type="spellEnd"/>
      <w:r>
        <w:rPr>
          <w:sz w:val="20"/>
          <w:szCs w:val="20"/>
          <w:highlight w:val="white"/>
        </w:rPr>
        <w:t>, IFRC Country Cluster Office</w:t>
      </w:r>
      <w:r>
        <w:rPr>
          <w:i/>
          <w:sz w:val="20"/>
          <w:szCs w:val="20"/>
          <w:highlight w:val="white"/>
        </w:rPr>
        <w:t xml:space="preserve"> </w:t>
      </w:r>
      <w:r>
        <w:rPr>
          <w:sz w:val="20"/>
          <w:szCs w:val="20"/>
          <w:highlight w:val="white"/>
        </w:rPr>
        <w:t>(Moderator)</w:t>
      </w:r>
    </w:p>
    <w:p w:rsidR="006B0956" w:rsidRDefault="000B12D2">
      <w:pPr>
        <w:pStyle w:val="Normal1"/>
        <w:numPr>
          <w:ilvl w:val="0"/>
          <w:numId w:val="7"/>
        </w:numPr>
        <w:ind w:hanging="360"/>
        <w:contextualSpacing/>
        <w:rPr>
          <w:sz w:val="20"/>
          <w:szCs w:val="20"/>
          <w:highlight w:val="white"/>
        </w:rPr>
      </w:pPr>
      <w:r>
        <w:rPr>
          <w:sz w:val="20"/>
          <w:szCs w:val="20"/>
          <w:highlight w:val="white"/>
        </w:rPr>
        <w:t xml:space="preserve">Naomi </w:t>
      </w:r>
      <w:proofErr w:type="spellStart"/>
      <w:r>
        <w:rPr>
          <w:sz w:val="20"/>
          <w:szCs w:val="20"/>
          <w:highlight w:val="white"/>
        </w:rPr>
        <w:t>Akamatsu</w:t>
      </w:r>
      <w:proofErr w:type="spellEnd"/>
      <w:r>
        <w:rPr>
          <w:sz w:val="20"/>
          <w:szCs w:val="20"/>
          <w:highlight w:val="white"/>
        </w:rPr>
        <w:t>, IFRC AP regional Office</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Novey</w:t>
      </w:r>
      <w:proofErr w:type="spellEnd"/>
      <w:r>
        <w:rPr>
          <w:sz w:val="20"/>
          <w:szCs w:val="20"/>
          <w:highlight w:val="white"/>
        </w:rPr>
        <w:t xml:space="preserve"> Robert S. </w:t>
      </w:r>
      <w:proofErr w:type="spellStart"/>
      <w:r>
        <w:rPr>
          <w:sz w:val="20"/>
          <w:szCs w:val="20"/>
          <w:highlight w:val="white"/>
        </w:rPr>
        <w:t>Dolde</w:t>
      </w:r>
      <w:proofErr w:type="spellEnd"/>
      <w:r>
        <w:rPr>
          <w:sz w:val="20"/>
          <w:szCs w:val="20"/>
          <w:highlight w:val="white"/>
        </w:rPr>
        <w:t>, Philippines RC</w:t>
      </w:r>
    </w:p>
    <w:p w:rsidR="006B0956" w:rsidRDefault="000B12D2">
      <w:pPr>
        <w:pStyle w:val="Normal1"/>
        <w:numPr>
          <w:ilvl w:val="0"/>
          <w:numId w:val="7"/>
        </w:numPr>
        <w:ind w:hanging="360"/>
        <w:contextualSpacing/>
        <w:rPr>
          <w:sz w:val="20"/>
          <w:szCs w:val="20"/>
          <w:highlight w:val="white"/>
        </w:rPr>
      </w:pPr>
      <w:proofErr w:type="spellStart"/>
      <w:r>
        <w:rPr>
          <w:sz w:val="20"/>
          <w:szCs w:val="20"/>
          <w:highlight w:val="white"/>
        </w:rPr>
        <w:t>Khun</w:t>
      </w:r>
      <w:proofErr w:type="spellEnd"/>
      <w:r>
        <w:rPr>
          <w:sz w:val="20"/>
          <w:szCs w:val="20"/>
          <w:highlight w:val="white"/>
        </w:rPr>
        <w:t xml:space="preserve"> </w:t>
      </w:r>
      <w:proofErr w:type="spellStart"/>
      <w:r>
        <w:rPr>
          <w:sz w:val="20"/>
          <w:szCs w:val="20"/>
          <w:highlight w:val="white"/>
        </w:rPr>
        <w:t>Sameng</w:t>
      </w:r>
      <w:proofErr w:type="spellEnd"/>
      <w:r>
        <w:rPr>
          <w:sz w:val="20"/>
          <w:szCs w:val="20"/>
          <w:highlight w:val="white"/>
        </w:rPr>
        <w:t>, Cambodian RC</w:t>
      </w:r>
    </w:p>
    <w:p w:rsidR="006B0956" w:rsidRDefault="000B12D2">
      <w:pPr>
        <w:pStyle w:val="Normal1"/>
        <w:numPr>
          <w:ilvl w:val="0"/>
          <w:numId w:val="7"/>
        </w:numPr>
        <w:ind w:hanging="360"/>
        <w:contextualSpacing/>
        <w:rPr>
          <w:sz w:val="20"/>
          <w:szCs w:val="20"/>
          <w:highlight w:val="white"/>
        </w:rPr>
      </w:pPr>
      <w:r>
        <w:rPr>
          <w:sz w:val="20"/>
          <w:szCs w:val="20"/>
          <w:highlight w:val="white"/>
        </w:rPr>
        <w:t xml:space="preserve">Anchalee </w:t>
      </w:r>
      <w:proofErr w:type="spellStart"/>
      <w:r>
        <w:rPr>
          <w:sz w:val="20"/>
          <w:szCs w:val="20"/>
          <w:highlight w:val="white"/>
        </w:rPr>
        <w:t>Suebsangin</w:t>
      </w:r>
      <w:proofErr w:type="spellEnd"/>
      <w:r>
        <w:rPr>
          <w:sz w:val="20"/>
          <w:szCs w:val="20"/>
          <w:highlight w:val="white"/>
        </w:rPr>
        <w:t>, Thai RC</w:t>
      </w:r>
    </w:p>
    <w:p w:rsidR="006B0956" w:rsidRDefault="006B0956">
      <w:pPr>
        <w:pStyle w:val="Normal1"/>
      </w:pPr>
    </w:p>
    <w:p w:rsidR="006B0956" w:rsidRDefault="000B12D2">
      <w:pPr>
        <w:pStyle w:val="Normal1"/>
        <w:ind w:firstLine="360"/>
        <w:jc w:val="both"/>
      </w:pPr>
      <w:r>
        <w:rPr>
          <w:i/>
          <w:sz w:val="20"/>
          <w:szCs w:val="20"/>
          <w:u w:val="single"/>
        </w:rPr>
        <w:t>Absent with Apologies:</w:t>
      </w:r>
    </w:p>
    <w:p w:rsidR="006B0956" w:rsidRDefault="000B12D2">
      <w:pPr>
        <w:pStyle w:val="Normal1"/>
        <w:numPr>
          <w:ilvl w:val="0"/>
          <w:numId w:val="1"/>
        </w:numPr>
        <w:ind w:hanging="360"/>
        <w:contextualSpacing/>
        <w:rPr>
          <w:sz w:val="20"/>
          <w:szCs w:val="20"/>
        </w:rPr>
      </w:pPr>
      <w:r>
        <w:rPr>
          <w:sz w:val="20"/>
          <w:szCs w:val="20"/>
        </w:rPr>
        <w:t>Laos RC, Brunei RC, CVTL RC, Vietnam RC, Malaysia RC</w:t>
      </w:r>
    </w:p>
    <w:p w:rsidR="006B0956" w:rsidRDefault="000B12D2">
      <w:pPr>
        <w:pStyle w:val="Normal1"/>
        <w:ind w:left="1080"/>
      </w:pPr>
      <w:r>
        <w:rPr>
          <w:sz w:val="20"/>
          <w:szCs w:val="20"/>
        </w:rPr>
        <w:t xml:space="preserve"> </w:t>
      </w:r>
    </w:p>
    <w:p w:rsidR="006B0956" w:rsidRDefault="000B12D2">
      <w:pPr>
        <w:pStyle w:val="Normal1"/>
      </w:pPr>
      <w:r>
        <w:rPr>
          <w:sz w:val="20"/>
          <w:szCs w:val="20"/>
          <w:u w:val="single"/>
        </w:rPr>
        <w:t>Objectives of the Meeting</w:t>
      </w:r>
      <w:r>
        <w:rPr>
          <w:sz w:val="20"/>
          <w:szCs w:val="20"/>
        </w:rPr>
        <w:t xml:space="preserve">: Bi-monthly online meeting </w:t>
      </w:r>
    </w:p>
    <w:p w:rsidR="006B0956" w:rsidRDefault="000B12D2">
      <w:pPr>
        <w:pStyle w:val="Normal1"/>
      </w:pPr>
      <w:r>
        <w:rPr>
          <w:sz w:val="20"/>
          <w:szCs w:val="20"/>
          <w:u w:val="single"/>
        </w:rPr>
        <w:t>Attachment:</w:t>
      </w:r>
      <w:r>
        <w:rPr>
          <w:sz w:val="20"/>
          <w:szCs w:val="20"/>
        </w:rPr>
        <w:t xml:space="preserve"> Master Calendar, Spreadsheets of Action plans</w:t>
      </w:r>
    </w:p>
    <w:p w:rsidR="006B0956" w:rsidRDefault="000B12D2">
      <w:pPr>
        <w:pStyle w:val="Normal1"/>
      </w:pPr>
      <w:r>
        <w:rPr>
          <w:sz w:val="20"/>
          <w:szCs w:val="20"/>
        </w:rPr>
        <w:t xml:space="preserve"> </w:t>
      </w:r>
    </w:p>
    <w:tbl>
      <w:tblPr>
        <w:tblStyle w:val="a"/>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5760"/>
        <w:gridCol w:w="1695"/>
        <w:gridCol w:w="1365"/>
      </w:tblGrid>
      <w:tr w:rsidR="006B0956">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rPr>
              <w:t>No</w:t>
            </w:r>
          </w:p>
        </w:tc>
        <w:tc>
          <w:tcPr>
            <w:tcW w:w="57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rPr>
              <w:t>Items</w:t>
            </w:r>
          </w:p>
        </w:tc>
        <w:tc>
          <w:tcPr>
            <w:tcW w:w="16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rPr>
              <w:t>Presenter</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rPr>
              <w:t>Follow up</w:t>
            </w:r>
          </w:p>
        </w:tc>
      </w:tr>
      <w:tr w:rsidR="006B0956">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t>1</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u w:val="single"/>
              </w:rPr>
              <w:t>Welcome and opening remarks</w:t>
            </w:r>
          </w:p>
          <w:p w:rsidR="006B0956" w:rsidRDefault="006B0956">
            <w:pPr>
              <w:pStyle w:val="Normal1"/>
              <w:widowControl w:val="0"/>
              <w:contextualSpacing w:val="0"/>
            </w:pPr>
          </w:p>
          <w:p w:rsidR="006B0956" w:rsidRDefault="000B12D2">
            <w:pPr>
              <w:pStyle w:val="Normal1"/>
              <w:widowControl w:val="0"/>
              <w:contextualSpacing w:val="0"/>
            </w:pPr>
            <w:proofErr w:type="spellStart"/>
            <w:r>
              <w:rPr>
                <w:sz w:val="20"/>
                <w:szCs w:val="20"/>
              </w:rPr>
              <w:t>Sahari</w:t>
            </w:r>
            <w:proofErr w:type="spellEnd"/>
            <w:r>
              <w:rPr>
                <w:sz w:val="20"/>
                <w:szCs w:val="20"/>
              </w:rPr>
              <w:t xml:space="preserve"> welcomed members’ participation and shared on the agenda.</w:t>
            </w:r>
          </w:p>
          <w:p w:rsidR="006B0956" w:rsidRDefault="006B0956">
            <w:pPr>
              <w:pStyle w:val="Normal1"/>
              <w:widowControl w:val="0"/>
              <w:contextualSpacing w:val="0"/>
            </w:pPr>
          </w:p>
          <w:p w:rsidR="006B0956" w:rsidRDefault="000B12D2">
            <w:pPr>
              <w:pStyle w:val="Normal1"/>
              <w:widowControl w:val="0"/>
              <w:contextualSpacing w:val="0"/>
            </w:pPr>
            <w:r>
              <w:rPr>
                <w:sz w:val="20"/>
                <w:szCs w:val="20"/>
              </w:rPr>
              <w:t>Agenda for the meeting:</w:t>
            </w:r>
          </w:p>
          <w:p w:rsidR="006B0956" w:rsidRDefault="000B12D2">
            <w:pPr>
              <w:pStyle w:val="Normal1"/>
              <w:widowControl w:val="0"/>
              <w:numPr>
                <w:ilvl w:val="0"/>
                <w:numId w:val="2"/>
              </w:numPr>
              <w:ind w:hanging="360"/>
              <w:rPr>
                <w:sz w:val="20"/>
                <w:szCs w:val="20"/>
              </w:rPr>
            </w:pPr>
            <w:r>
              <w:rPr>
                <w:sz w:val="20"/>
                <w:szCs w:val="20"/>
              </w:rPr>
              <w:t>Confirmation of SEAYN Action plan implementation Plan</w:t>
            </w:r>
          </w:p>
          <w:p w:rsidR="006B0956" w:rsidRDefault="000B12D2">
            <w:pPr>
              <w:pStyle w:val="Normal1"/>
              <w:widowControl w:val="0"/>
              <w:numPr>
                <w:ilvl w:val="0"/>
                <w:numId w:val="2"/>
              </w:numPr>
              <w:ind w:hanging="360"/>
              <w:rPr>
                <w:sz w:val="20"/>
                <w:szCs w:val="20"/>
              </w:rPr>
            </w:pPr>
            <w:r>
              <w:rPr>
                <w:sz w:val="20"/>
                <w:szCs w:val="20"/>
              </w:rPr>
              <w:t>Linkage between APYN and SEAYN Working group member nominee</w:t>
            </w:r>
          </w:p>
          <w:p w:rsidR="006B0956" w:rsidRDefault="000B12D2">
            <w:pPr>
              <w:pStyle w:val="Normal1"/>
              <w:widowControl w:val="0"/>
              <w:numPr>
                <w:ilvl w:val="0"/>
                <w:numId w:val="2"/>
              </w:numPr>
              <w:ind w:hanging="360"/>
              <w:rPr>
                <w:sz w:val="20"/>
                <w:szCs w:val="20"/>
              </w:rPr>
            </w:pPr>
            <w:r>
              <w:rPr>
                <w:sz w:val="20"/>
                <w:szCs w:val="20"/>
              </w:rPr>
              <w:t>Global Youth Events (7th AMCDRR)</w:t>
            </w:r>
          </w:p>
          <w:p w:rsidR="006B0956" w:rsidRDefault="000B12D2">
            <w:pPr>
              <w:pStyle w:val="Normal1"/>
              <w:widowControl w:val="0"/>
              <w:numPr>
                <w:ilvl w:val="0"/>
                <w:numId w:val="2"/>
              </w:numPr>
              <w:ind w:hanging="360"/>
              <w:rPr>
                <w:sz w:val="20"/>
                <w:szCs w:val="20"/>
              </w:rPr>
            </w:pPr>
            <w:r>
              <w:rPr>
                <w:sz w:val="20"/>
                <w:szCs w:val="20"/>
              </w:rPr>
              <w:t>APYN Action Plan Key Outcomes</w:t>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proofErr w:type="spellStart"/>
            <w:r>
              <w:rPr>
                <w:sz w:val="20"/>
                <w:szCs w:val="20"/>
              </w:rPr>
              <w:t>Sahari</w:t>
            </w:r>
            <w:proofErr w:type="spellEnd"/>
            <w:r>
              <w:rPr>
                <w:sz w:val="20"/>
                <w:szCs w:val="20"/>
              </w:rPr>
              <w:br/>
            </w:r>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t xml:space="preserve"> </w:t>
            </w:r>
          </w:p>
        </w:tc>
      </w:tr>
      <w:tr w:rsidR="006B0956">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t>2</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b/>
                <w:sz w:val="20"/>
                <w:szCs w:val="20"/>
                <w:u w:val="single"/>
              </w:rPr>
              <w:t>Confirmation of SEAYN Action plan implementation Plan</w:t>
            </w:r>
            <w:r>
              <w:rPr>
                <w:sz w:val="20"/>
                <w:szCs w:val="20"/>
                <w:u w:val="single"/>
              </w:rPr>
              <w:br/>
            </w:r>
          </w:p>
          <w:p w:rsidR="006B0956" w:rsidRDefault="000B12D2">
            <w:pPr>
              <w:pStyle w:val="Normal1"/>
              <w:widowControl w:val="0"/>
              <w:numPr>
                <w:ilvl w:val="0"/>
                <w:numId w:val="3"/>
              </w:numPr>
              <w:ind w:hanging="360"/>
              <w:rPr>
                <w:sz w:val="20"/>
                <w:szCs w:val="20"/>
              </w:rPr>
            </w:pPr>
            <w:r>
              <w:rPr>
                <w:sz w:val="20"/>
                <w:szCs w:val="20"/>
              </w:rPr>
              <w:lastRenderedPageBreak/>
              <w:t>Confirmation / updates on the action plans by the respective National Societies</w:t>
            </w:r>
          </w:p>
          <w:p w:rsidR="006B0956" w:rsidRDefault="006B0956">
            <w:pPr>
              <w:pStyle w:val="Normal1"/>
              <w:widowControl w:val="0"/>
              <w:contextualSpacing w:val="0"/>
            </w:pPr>
          </w:p>
          <w:p w:rsidR="006B0956" w:rsidRDefault="000B12D2">
            <w:pPr>
              <w:pStyle w:val="Normal1"/>
              <w:widowControl w:val="0"/>
              <w:contextualSpacing w:val="0"/>
            </w:pPr>
            <w:r>
              <w:rPr>
                <w:b/>
                <w:sz w:val="20"/>
                <w:szCs w:val="20"/>
                <w:u w:val="single"/>
              </w:rPr>
              <w:t>SINGAPORE</w:t>
            </w:r>
          </w:p>
          <w:p w:rsidR="006B0956" w:rsidRDefault="000B12D2">
            <w:pPr>
              <w:pStyle w:val="Normal1"/>
              <w:widowControl w:val="0"/>
              <w:numPr>
                <w:ilvl w:val="0"/>
                <w:numId w:val="3"/>
              </w:numPr>
              <w:ind w:hanging="360"/>
              <w:rPr>
                <w:sz w:val="20"/>
                <w:szCs w:val="20"/>
              </w:rPr>
            </w:pPr>
            <w:r>
              <w:rPr>
                <w:sz w:val="20"/>
                <w:szCs w:val="20"/>
              </w:rPr>
              <w:t>YABC in June</w:t>
            </w:r>
          </w:p>
          <w:p w:rsidR="006B0956" w:rsidRDefault="000B12D2">
            <w:pPr>
              <w:pStyle w:val="Normal1"/>
              <w:widowControl w:val="0"/>
              <w:numPr>
                <w:ilvl w:val="0"/>
                <w:numId w:val="3"/>
              </w:numPr>
              <w:ind w:hanging="360"/>
              <w:rPr>
                <w:sz w:val="20"/>
                <w:szCs w:val="20"/>
              </w:rPr>
            </w:pPr>
            <w:r>
              <w:rPr>
                <w:sz w:val="20"/>
                <w:szCs w:val="20"/>
              </w:rPr>
              <w:t>Facebook to March</w:t>
            </w:r>
          </w:p>
          <w:p w:rsidR="006B0956" w:rsidRDefault="000B12D2">
            <w:pPr>
              <w:pStyle w:val="Normal1"/>
              <w:widowControl w:val="0"/>
              <w:numPr>
                <w:ilvl w:val="0"/>
                <w:numId w:val="3"/>
              </w:numPr>
              <w:ind w:hanging="360"/>
              <w:rPr>
                <w:sz w:val="20"/>
                <w:szCs w:val="20"/>
              </w:rPr>
            </w:pPr>
            <w:r>
              <w:rPr>
                <w:sz w:val="20"/>
                <w:szCs w:val="20"/>
              </w:rPr>
              <w:t>Leadership Training in January</w:t>
            </w:r>
          </w:p>
          <w:p w:rsidR="006B0956" w:rsidRDefault="000B12D2">
            <w:pPr>
              <w:pStyle w:val="Normal1"/>
              <w:widowControl w:val="0"/>
              <w:numPr>
                <w:ilvl w:val="0"/>
                <w:numId w:val="3"/>
              </w:numPr>
              <w:ind w:hanging="360"/>
              <w:rPr>
                <w:sz w:val="20"/>
                <w:szCs w:val="20"/>
              </w:rPr>
            </w:pPr>
            <w:r>
              <w:rPr>
                <w:sz w:val="20"/>
                <w:szCs w:val="20"/>
              </w:rPr>
              <w:t>Gave a brief overview of Youth Summit from 17 to 18 December</w:t>
            </w:r>
          </w:p>
          <w:p w:rsidR="006B0956" w:rsidRDefault="006B0956">
            <w:pPr>
              <w:pStyle w:val="Normal1"/>
              <w:widowControl w:val="0"/>
              <w:contextualSpacing w:val="0"/>
            </w:pPr>
          </w:p>
          <w:p w:rsidR="006B0956" w:rsidRDefault="000B12D2">
            <w:pPr>
              <w:pStyle w:val="Normal1"/>
              <w:widowControl w:val="0"/>
              <w:contextualSpacing w:val="0"/>
            </w:pPr>
            <w:r>
              <w:rPr>
                <w:b/>
                <w:sz w:val="20"/>
                <w:szCs w:val="20"/>
                <w:u w:val="single"/>
              </w:rPr>
              <w:t>CAMBODIA</w:t>
            </w:r>
          </w:p>
          <w:p w:rsidR="006B0956" w:rsidRDefault="000B12D2">
            <w:pPr>
              <w:pStyle w:val="Normal1"/>
              <w:numPr>
                <w:ilvl w:val="0"/>
                <w:numId w:val="4"/>
              </w:numPr>
              <w:ind w:hanging="360"/>
              <w:rPr>
                <w:sz w:val="20"/>
                <w:szCs w:val="20"/>
                <w:highlight w:val="white"/>
              </w:rPr>
            </w:pPr>
            <w:r>
              <w:rPr>
                <w:sz w:val="20"/>
                <w:szCs w:val="20"/>
                <w:highlight w:val="white"/>
              </w:rPr>
              <w:t>YABC in September</w:t>
            </w:r>
          </w:p>
          <w:p w:rsidR="006B0956" w:rsidRDefault="000B12D2">
            <w:pPr>
              <w:pStyle w:val="Normal1"/>
              <w:numPr>
                <w:ilvl w:val="0"/>
                <w:numId w:val="4"/>
              </w:numPr>
              <w:ind w:hanging="360"/>
              <w:rPr>
                <w:sz w:val="20"/>
                <w:szCs w:val="20"/>
                <w:highlight w:val="white"/>
              </w:rPr>
            </w:pPr>
            <w:r>
              <w:rPr>
                <w:sz w:val="20"/>
                <w:szCs w:val="20"/>
                <w:highlight w:val="white"/>
              </w:rPr>
              <w:t>Case study has already been committed</w:t>
            </w:r>
            <w:r>
              <w:rPr>
                <w:sz w:val="20"/>
                <w:szCs w:val="20"/>
                <w:highlight w:val="white"/>
              </w:rPr>
              <w:br/>
            </w:r>
          </w:p>
          <w:p w:rsidR="006B0956" w:rsidRDefault="000B12D2">
            <w:pPr>
              <w:pStyle w:val="Normal1"/>
              <w:widowControl w:val="0"/>
              <w:contextualSpacing w:val="0"/>
            </w:pPr>
            <w:r>
              <w:rPr>
                <w:b/>
                <w:sz w:val="20"/>
                <w:szCs w:val="20"/>
                <w:u w:val="single"/>
              </w:rPr>
              <w:t>MYANMAR</w:t>
            </w:r>
          </w:p>
          <w:p w:rsidR="006B0956" w:rsidRDefault="000B12D2">
            <w:pPr>
              <w:pStyle w:val="Normal1"/>
              <w:widowControl w:val="0"/>
              <w:numPr>
                <w:ilvl w:val="0"/>
                <w:numId w:val="6"/>
              </w:numPr>
              <w:ind w:hanging="360"/>
              <w:rPr>
                <w:sz w:val="20"/>
                <w:szCs w:val="20"/>
              </w:rPr>
            </w:pPr>
            <w:r>
              <w:rPr>
                <w:sz w:val="20"/>
                <w:szCs w:val="20"/>
              </w:rPr>
              <w:t>Facebook page - Approval has been received</w:t>
            </w:r>
          </w:p>
          <w:p w:rsidR="006B0956" w:rsidRDefault="000B12D2">
            <w:pPr>
              <w:pStyle w:val="Normal1"/>
              <w:widowControl w:val="0"/>
              <w:numPr>
                <w:ilvl w:val="0"/>
                <w:numId w:val="6"/>
              </w:numPr>
              <w:ind w:hanging="360"/>
              <w:rPr>
                <w:sz w:val="20"/>
                <w:szCs w:val="20"/>
              </w:rPr>
            </w:pPr>
            <w:r>
              <w:rPr>
                <w:sz w:val="20"/>
                <w:szCs w:val="20"/>
              </w:rPr>
              <w:t>Case Study - in the process of developing, aim to send the draft in by August</w:t>
            </w:r>
          </w:p>
          <w:p w:rsidR="006B0956" w:rsidRDefault="000B12D2">
            <w:pPr>
              <w:pStyle w:val="Normal1"/>
              <w:widowControl w:val="0"/>
              <w:numPr>
                <w:ilvl w:val="0"/>
                <w:numId w:val="6"/>
              </w:numPr>
              <w:ind w:hanging="360"/>
              <w:rPr>
                <w:sz w:val="20"/>
                <w:szCs w:val="20"/>
              </w:rPr>
            </w:pPr>
            <w:r>
              <w:rPr>
                <w:sz w:val="20"/>
                <w:szCs w:val="20"/>
              </w:rPr>
              <w:t>NVP - To be confirmed</w:t>
            </w:r>
          </w:p>
          <w:p w:rsidR="006B0956" w:rsidRDefault="006B0956">
            <w:pPr>
              <w:pStyle w:val="Normal1"/>
              <w:widowControl w:val="0"/>
              <w:contextualSpacing w:val="0"/>
            </w:pPr>
          </w:p>
          <w:p w:rsidR="006B0956" w:rsidRDefault="000B12D2">
            <w:pPr>
              <w:pStyle w:val="Normal1"/>
              <w:widowControl w:val="0"/>
              <w:contextualSpacing w:val="0"/>
            </w:pPr>
            <w:r>
              <w:rPr>
                <w:sz w:val="20"/>
                <w:szCs w:val="20"/>
              </w:rPr>
              <w:t>Singapore and Myanmar to update on the collaboration of the youth activity in the next meeting.</w:t>
            </w:r>
          </w:p>
          <w:p w:rsidR="006B0956" w:rsidRDefault="006B0956">
            <w:pPr>
              <w:pStyle w:val="Normal1"/>
              <w:widowControl w:val="0"/>
              <w:contextualSpacing w:val="0"/>
            </w:pPr>
          </w:p>
          <w:p w:rsidR="006B0956" w:rsidRDefault="000B12D2">
            <w:pPr>
              <w:pStyle w:val="Normal1"/>
              <w:widowControl w:val="0"/>
              <w:contextualSpacing w:val="0"/>
            </w:pPr>
            <w:r>
              <w:rPr>
                <w:b/>
                <w:sz w:val="20"/>
                <w:szCs w:val="20"/>
                <w:u w:val="single"/>
              </w:rPr>
              <w:t>Indonesia</w:t>
            </w:r>
          </w:p>
          <w:p w:rsidR="006B0956" w:rsidRDefault="000B12D2">
            <w:pPr>
              <w:pStyle w:val="Normal1"/>
              <w:widowControl w:val="0"/>
              <w:numPr>
                <w:ilvl w:val="0"/>
                <w:numId w:val="6"/>
              </w:numPr>
              <w:ind w:hanging="360"/>
              <w:rPr>
                <w:sz w:val="20"/>
                <w:szCs w:val="20"/>
              </w:rPr>
            </w:pPr>
            <w:proofErr w:type="spellStart"/>
            <w:r>
              <w:rPr>
                <w:sz w:val="20"/>
                <w:szCs w:val="20"/>
              </w:rPr>
              <w:t>Doddy</w:t>
            </w:r>
            <w:proofErr w:type="spellEnd"/>
            <w:r>
              <w:rPr>
                <w:sz w:val="20"/>
                <w:szCs w:val="20"/>
              </w:rPr>
              <w:t xml:space="preserve"> - 30 May to 3 June for YABC</w:t>
            </w:r>
            <w:r>
              <w:rPr>
                <w:sz w:val="20"/>
                <w:szCs w:val="20"/>
              </w:rPr>
              <w:br/>
            </w:r>
          </w:p>
          <w:p w:rsidR="006B0956" w:rsidRDefault="006B0956">
            <w:pPr>
              <w:pStyle w:val="Normal1"/>
              <w:widowControl w:val="0"/>
              <w:contextualSpacing w:val="0"/>
            </w:pPr>
          </w:p>
          <w:p w:rsidR="006B0956" w:rsidRDefault="000B12D2">
            <w:pPr>
              <w:pStyle w:val="Normal1"/>
              <w:widowControl w:val="0"/>
              <w:contextualSpacing w:val="0"/>
            </w:pPr>
            <w:r>
              <w:rPr>
                <w:b/>
                <w:sz w:val="20"/>
                <w:szCs w:val="20"/>
                <w:u w:val="single"/>
              </w:rPr>
              <w:t>Philippines</w:t>
            </w:r>
          </w:p>
          <w:p w:rsidR="006B0956" w:rsidRDefault="000B12D2">
            <w:pPr>
              <w:pStyle w:val="Normal1"/>
              <w:widowControl w:val="0"/>
              <w:numPr>
                <w:ilvl w:val="0"/>
                <w:numId w:val="6"/>
              </w:numPr>
              <w:ind w:hanging="360"/>
              <w:rPr>
                <w:sz w:val="20"/>
                <w:szCs w:val="20"/>
              </w:rPr>
            </w:pPr>
            <w:r>
              <w:rPr>
                <w:sz w:val="20"/>
                <w:szCs w:val="20"/>
              </w:rPr>
              <w:t>YABC - 28 March to 2 April</w:t>
            </w:r>
          </w:p>
          <w:p w:rsidR="006B0956" w:rsidRDefault="000B12D2">
            <w:pPr>
              <w:pStyle w:val="Normal1"/>
              <w:widowControl w:val="0"/>
              <w:contextualSpacing w:val="0"/>
            </w:pPr>
            <w:r>
              <w:rPr>
                <w:b/>
                <w:sz w:val="20"/>
                <w:szCs w:val="20"/>
                <w:u w:val="single"/>
              </w:rPr>
              <w:t xml:space="preserve">Vietnam </w:t>
            </w:r>
          </w:p>
          <w:p w:rsidR="006B0956" w:rsidRDefault="000B12D2">
            <w:pPr>
              <w:pStyle w:val="Normal1"/>
              <w:widowControl w:val="0"/>
              <w:numPr>
                <w:ilvl w:val="0"/>
                <w:numId w:val="6"/>
              </w:numPr>
              <w:ind w:hanging="360"/>
              <w:rPr>
                <w:sz w:val="20"/>
                <w:szCs w:val="20"/>
              </w:rPr>
            </w:pPr>
            <w:r>
              <w:rPr>
                <w:sz w:val="20"/>
                <w:szCs w:val="20"/>
              </w:rPr>
              <w:t>YABC - 6 to 11 June</w:t>
            </w:r>
            <w:r>
              <w:rPr>
                <w:sz w:val="20"/>
                <w:szCs w:val="20"/>
              </w:rPr>
              <w:br/>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0B12D2">
            <w:pPr>
              <w:pStyle w:val="Normal1"/>
              <w:contextualSpacing w:val="0"/>
            </w:pPr>
            <w:proofErr w:type="spellStart"/>
            <w:r>
              <w:rPr>
                <w:sz w:val="20"/>
                <w:szCs w:val="20"/>
              </w:rPr>
              <w:t>Sahari</w:t>
            </w:r>
            <w:proofErr w:type="spellEnd"/>
            <w:r>
              <w:rPr>
                <w:sz w:val="20"/>
                <w:szCs w:val="20"/>
              </w:rPr>
              <w:t xml:space="preserve"> Ani, Singapore RC</w:t>
            </w: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0B12D2">
            <w:pPr>
              <w:pStyle w:val="Normal1"/>
              <w:contextualSpacing w:val="0"/>
            </w:pPr>
            <w:proofErr w:type="spellStart"/>
            <w:r>
              <w:rPr>
                <w:sz w:val="20"/>
                <w:szCs w:val="20"/>
                <w:highlight w:val="white"/>
              </w:rPr>
              <w:t>Rouert</w:t>
            </w:r>
            <w:proofErr w:type="spellEnd"/>
            <w:r>
              <w:rPr>
                <w:sz w:val="20"/>
                <w:szCs w:val="20"/>
                <w:highlight w:val="white"/>
              </w:rPr>
              <w:t xml:space="preserve"> </w:t>
            </w:r>
            <w:proofErr w:type="spellStart"/>
            <w:r>
              <w:rPr>
                <w:sz w:val="20"/>
                <w:szCs w:val="20"/>
                <w:highlight w:val="white"/>
              </w:rPr>
              <w:t>Sokhon</w:t>
            </w:r>
            <w:proofErr w:type="spellEnd"/>
            <w:r>
              <w:rPr>
                <w:sz w:val="20"/>
                <w:szCs w:val="20"/>
                <w:highlight w:val="white"/>
              </w:rPr>
              <w:t>, Cambodian RC</w:t>
            </w:r>
          </w:p>
          <w:p w:rsidR="006B0956" w:rsidRDefault="006B0956">
            <w:pPr>
              <w:pStyle w:val="Normal1"/>
              <w:contextualSpacing w:val="0"/>
            </w:pPr>
          </w:p>
          <w:p w:rsidR="006B0956" w:rsidRDefault="006B0956">
            <w:pPr>
              <w:pStyle w:val="Normal1"/>
              <w:contextualSpacing w:val="0"/>
            </w:pPr>
          </w:p>
          <w:p w:rsidR="006B0956" w:rsidRDefault="000B12D2">
            <w:pPr>
              <w:pStyle w:val="Normal1"/>
              <w:contextualSpacing w:val="0"/>
            </w:pPr>
            <w:proofErr w:type="spellStart"/>
            <w:r>
              <w:rPr>
                <w:sz w:val="20"/>
                <w:szCs w:val="20"/>
                <w:highlight w:val="white"/>
              </w:rPr>
              <w:t>Hnin</w:t>
            </w:r>
            <w:proofErr w:type="spellEnd"/>
            <w:r>
              <w:rPr>
                <w:sz w:val="20"/>
                <w:szCs w:val="20"/>
                <w:highlight w:val="white"/>
              </w:rPr>
              <w:t xml:space="preserve"> </w:t>
            </w:r>
            <w:proofErr w:type="spellStart"/>
            <w:r>
              <w:rPr>
                <w:sz w:val="20"/>
                <w:szCs w:val="20"/>
                <w:highlight w:val="white"/>
              </w:rPr>
              <w:t>Phyu</w:t>
            </w:r>
            <w:proofErr w:type="spellEnd"/>
            <w:r>
              <w:rPr>
                <w:sz w:val="20"/>
                <w:szCs w:val="20"/>
                <w:highlight w:val="white"/>
              </w:rPr>
              <w:t xml:space="preserve"> </w:t>
            </w:r>
            <w:proofErr w:type="spellStart"/>
            <w:r>
              <w:rPr>
                <w:sz w:val="20"/>
                <w:szCs w:val="20"/>
                <w:highlight w:val="white"/>
              </w:rPr>
              <w:t>Phyu</w:t>
            </w:r>
            <w:proofErr w:type="spellEnd"/>
            <w:r>
              <w:rPr>
                <w:sz w:val="20"/>
                <w:szCs w:val="20"/>
                <w:highlight w:val="white"/>
              </w:rPr>
              <w:t xml:space="preserve"> </w:t>
            </w:r>
            <w:proofErr w:type="spellStart"/>
            <w:r>
              <w:rPr>
                <w:sz w:val="20"/>
                <w:szCs w:val="20"/>
                <w:highlight w:val="white"/>
              </w:rPr>
              <w:t>Myint</w:t>
            </w:r>
            <w:proofErr w:type="spellEnd"/>
            <w:r>
              <w:rPr>
                <w:sz w:val="20"/>
                <w:szCs w:val="20"/>
                <w:highlight w:val="white"/>
              </w:rPr>
              <w:t>, Myanmar RC</w:t>
            </w: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p w:rsidR="006B0956" w:rsidRDefault="000B12D2">
            <w:pPr>
              <w:pStyle w:val="Normal1"/>
              <w:contextualSpacing w:val="0"/>
            </w:pPr>
            <w:proofErr w:type="spellStart"/>
            <w:r>
              <w:rPr>
                <w:sz w:val="20"/>
                <w:szCs w:val="20"/>
                <w:highlight w:val="white"/>
              </w:rPr>
              <w:t>Doddy</w:t>
            </w:r>
            <w:proofErr w:type="spellEnd"/>
            <w:r>
              <w:rPr>
                <w:sz w:val="20"/>
                <w:szCs w:val="20"/>
                <w:highlight w:val="white"/>
              </w:rPr>
              <w:t xml:space="preserve"> </w:t>
            </w:r>
            <w:proofErr w:type="spellStart"/>
            <w:r>
              <w:rPr>
                <w:sz w:val="20"/>
                <w:szCs w:val="20"/>
                <w:highlight w:val="white"/>
              </w:rPr>
              <w:t>Alfitra</w:t>
            </w:r>
            <w:proofErr w:type="spellEnd"/>
            <w:r>
              <w:rPr>
                <w:sz w:val="20"/>
                <w:szCs w:val="20"/>
                <w:highlight w:val="white"/>
              </w:rPr>
              <w:t>, Indonesian RC</w:t>
            </w:r>
          </w:p>
          <w:p w:rsidR="006B0956" w:rsidRDefault="006B0956">
            <w:pPr>
              <w:pStyle w:val="Normal1"/>
              <w:contextualSpacing w:val="0"/>
            </w:pPr>
          </w:p>
          <w:p w:rsidR="006B0956" w:rsidRDefault="006B0956">
            <w:pPr>
              <w:pStyle w:val="Normal1"/>
              <w:contextualSpacing w:val="0"/>
            </w:pPr>
          </w:p>
          <w:p w:rsidR="006B0956" w:rsidRDefault="000B12D2">
            <w:pPr>
              <w:pStyle w:val="Normal1"/>
              <w:contextualSpacing w:val="0"/>
            </w:pPr>
            <w:proofErr w:type="spellStart"/>
            <w:r>
              <w:rPr>
                <w:sz w:val="20"/>
                <w:szCs w:val="20"/>
                <w:highlight w:val="white"/>
              </w:rPr>
              <w:t>Kumju</w:t>
            </w:r>
            <w:proofErr w:type="spellEnd"/>
            <w:r>
              <w:rPr>
                <w:sz w:val="20"/>
                <w:szCs w:val="20"/>
                <w:highlight w:val="white"/>
              </w:rPr>
              <w:t xml:space="preserve"> confirmed on the National Societies’ (Philippines and Vietnam) behalf</w:t>
            </w:r>
          </w:p>
          <w:p w:rsidR="006B0956" w:rsidRDefault="006B0956">
            <w:pPr>
              <w:pStyle w:val="Normal1"/>
              <w:contextualSpacing w:val="0"/>
            </w:pPr>
          </w:p>
          <w:p w:rsidR="006B0956" w:rsidRDefault="006B0956">
            <w:pPr>
              <w:pStyle w:val="Normal1"/>
              <w:contextualSpacing w:val="0"/>
            </w:pPr>
          </w:p>
          <w:p w:rsidR="006B0956" w:rsidRDefault="006B0956">
            <w:pPr>
              <w:pStyle w:val="Normal1"/>
              <w:contextualSpacing w:val="0"/>
            </w:pPr>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6B0956">
            <w:pPr>
              <w:pStyle w:val="Normal1"/>
              <w:widowControl w:val="0"/>
              <w:contextualSpacing w:val="0"/>
            </w:pPr>
          </w:p>
        </w:tc>
      </w:tr>
      <w:tr w:rsidR="006B0956">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lastRenderedPageBreak/>
              <w:t>3</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u w:val="single"/>
              </w:rPr>
              <w:t>Linkage between APYN and SEAYN Working group member nominee</w:t>
            </w:r>
          </w:p>
          <w:p w:rsidR="006B0956" w:rsidRDefault="006B0956">
            <w:pPr>
              <w:pStyle w:val="Normal1"/>
              <w:widowControl w:val="0"/>
              <w:contextualSpacing w:val="0"/>
            </w:pPr>
          </w:p>
          <w:p w:rsidR="006B0956" w:rsidRDefault="000B12D2">
            <w:pPr>
              <w:pStyle w:val="Normal1"/>
              <w:widowControl w:val="0"/>
              <w:numPr>
                <w:ilvl w:val="0"/>
                <w:numId w:val="8"/>
              </w:numPr>
              <w:ind w:hanging="360"/>
              <w:rPr>
                <w:sz w:val="20"/>
                <w:szCs w:val="20"/>
              </w:rPr>
            </w:pPr>
            <w:r>
              <w:rPr>
                <w:sz w:val="20"/>
                <w:szCs w:val="20"/>
              </w:rPr>
              <w:lastRenderedPageBreak/>
              <w:t xml:space="preserve">Roles of APYN SC member </w:t>
            </w:r>
          </w:p>
          <w:p w:rsidR="006B0956" w:rsidRDefault="000B12D2">
            <w:pPr>
              <w:pStyle w:val="Normal1"/>
              <w:widowControl w:val="0"/>
              <w:numPr>
                <w:ilvl w:val="0"/>
                <w:numId w:val="8"/>
              </w:numPr>
              <w:ind w:hanging="360"/>
              <w:rPr>
                <w:sz w:val="20"/>
                <w:szCs w:val="20"/>
              </w:rPr>
            </w:pPr>
            <w:r>
              <w:rPr>
                <w:sz w:val="20"/>
                <w:szCs w:val="20"/>
              </w:rPr>
              <w:t xml:space="preserve">An online development working group </w:t>
            </w:r>
            <w:r>
              <w:rPr>
                <w:color w:val="222222"/>
                <w:sz w:val="20"/>
                <w:szCs w:val="20"/>
                <w:highlight w:val="white"/>
              </w:rPr>
              <w:t>would be set up and is expected to focus on the development of the Platform and have their first working meeting taken in Seoul, South Korea in March 2016 to discuss and agree on the details about the contents of such platform where innovative use of social media and communications technologies to increase the effectiveness of our services and how we manage and share knowledge” through the “Beijing Youth Commitments 2014”, and seeing the needs in setting up an active online platform. The working group will have to share and put ideas together in setting up an online platform as an information hub to connect peers and fostering knowledge sharing.</w:t>
            </w:r>
          </w:p>
          <w:p w:rsidR="006B0956" w:rsidRDefault="006B0956">
            <w:pPr>
              <w:pStyle w:val="Normal1"/>
              <w:widowControl w:val="0"/>
              <w:contextualSpacing w:val="0"/>
            </w:pPr>
          </w:p>
          <w:p w:rsidR="006B0956" w:rsidRDefault="000B12D2">
            <w:pPr>
              <w:pStyle w:val="Normal1"/>
              <w:widowControl w:val="0"/>
              <w:numPr>
                <w:ilvl w:val="0"/>
                <w:numId w:val="8"/>
              </w:numPr>
              <w:ind w:hanging="360"/>
              <w:rPr>
                <w:sz w:val="20"/>
                <w:szCs w:val="20"/>
              </w:rPr>
            </w:pPr>
            <w:r>
              <w:rPr>
                <w:sz w:val="20"/>
                <w:szCs w:val="20"/>
              </w:rPr>
              <w:t>APYN Update on Community of Practices</w:t>
            </w:r>
          </w:p>
          <w:p w:rsidR="006B0956" w:rsidRDefault="000B12D2">
            <w:pPr>
              <w:pStyle w:val="Normal1"/>
              <w:widowControl w:val="0"/>
              <w:numPr>
                <w:ilvl w:val="1"/>
                <w:numId w:val="8"/>
              </w:numPr>
              <w:ind w:hanging="360"/>
              <w:rPr>
                <w:sz w:val="20"/>
                <w:szCs w:val="20"/>
              </w:rPr>
            </w:pPr>
            <w:r>
              <w:rPr>
                <w:sz w:val="20"/>
                <w:szCs w:val="20"/>
              </w:rPr>
              <w:t xml:space="preserve">Email will be sent to </w:t>
            </w:r>
            <w:proofErr w:type="spellStart"/>
            <w:r>
              <w:rPr>
                <w:sz w:val="20"/>
                <w:szCs w:val="20"/>
              </w:rPr>
              <w:t>to</w:t>
            </w:r>
            <w:proofErr w:type="spellEnd"/>
            <w:r>
              <w:rPr>
                <w:sz w:val="20"/>
                <w:szCs w:val="20"/>
              </w:rPr>
              <w:t xml:space="preserve"> get National Societies to be involved in the APYN </w:t>
            </w:r>
            <w:proofErr w:type="spellStart"/>
            <w:r>
              <w:rPr>
                <w:sz w:val="20"/>
                <w:szCs w:val="20"/>
              </w:rPr>
              <w:t>facebook</w:t>
            </w:r>
            <w:proofErr w:type="spellEnd"/>
            <w:r>
              <w:rPr>
                <w:sz w:val="20"/>
                <w:szCs w:val="20"/>
              </w:rPr>
              <w:t xml:space="preserve"> page and also for youths to participate in the Disaster Risk Reduction webinar.</w:t>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contextualSpacing w:val="0"/>
            </w:pPr>
            <w:r>
              <w:rPr>
                <w:sz w:val="20"/>
                <w:szCs w:val="20"/>
              </w:rPr>
              <w:lastRenderedPageBreak/>
              <w:t>Zaidi</w:t>
            </w:r>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6B0956">
            <w:pPr>
              <w:pStyle w:val="Normal1"/>
              <w:widowControl w:val="0"/>
              <w:contextualSpacing w:val="0"/>
            </w:pPr>
          </w:p>
        </w:tc>
      </w:tr>
      <w:tr w:rsidR="006B0956">
        <w:trPr>
          <w:trHeight w:val="248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lastRenderedPageBreak/>
              <w:t>4</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u w:val="single"/>
              </w:rPr>
              <w:t>Global Youth Events (7th AMCDRR)</w:t>
            </w:r>
          </w:p>
          <w:p w:rsidR="006B0956" w:rsidRDefault="000B12D2">
            <w:pPr>
              <w:pStyle w:val="Normal1"/>
              <w:ind w:hanging="360"/>
              <w:contextualSpacing w:val="0"/>
            </w:pPr>
            <w:r>
              <w:rPr>
                <w:sz w:val="20"/>
                <w:szCs w:val="20"/>
              </w:rPr>
              <w:t xml:space="preserve">·    </w:t>
            </w:r>
          </w:p>
          <w:p w:rsidR="006B0956" w:rsidRDefault="000B12D2">
            <w:pPr>
              <w:pStyle w:val="Normal1"/>
              <w:numPr>
                <w:ilvl w:val="0"/>
                <w:numId w:val="5"/>
              </w:numPr>
              <w:ind w:hanging="360"/>
              <w:rPr>
                <w:sz w:val="20"/>
                <w:szCs w:val="20"/>
              </w:rPr>
            </w:pPr>
            <w:r>
              <w:rPr>
                <w:sz w:val="20"/>
                <w:szCs w:val="20"/>
              </w:rPr>
              <w:t>Expected outcome of the AMCDRR 2016</w:t>
            </w:r>
          </w:p>
          <w:p w:rsidR="006B0956" w:rsidRDefault="000B12D2">
            <w:pPr>
              <w:pStyle w:val="Normal1"/>
              <w:numPr>
                <w:ilvl w:val="0"/>
                <w:numId w:val="5"/>
              </w:numPr>
              <w:ind w:hanging="360"/>
              <w:rPr>
                <w:sz w:val="20"/>
                <w:szCs w:val="20"/>
              </w:rPr>
            </w:pPr>
            <w:r>
              <w:rPr>
                <w:sz w:val="20"/>
                <w:szCs w:val="20"/>
              </w:rPr>
              <w:t>Stakeholder’ collaboration of AMCDRR</w:t>
            </w:r>
          </w:p>
          <w:p w:rsidR="006B0956" w:rsidRDefault="000B12D2">
            <w:pPr>
              <w:pStyle w:val="Normal1"/>
              <w:numPr>
                <w:ilvl w:val="0"/>
                <w:numId w:val="5"/>
              </w:numPr>
              <w:ind w:hanging="360"/>
              <w:rPr>
                <w:sz w:val="20"/>
                <w:szCs w:val="20"/>
              </w:rPr>
            </w:pPr>
            <w:r>
              <w:rPr>
                <w:sz w:val="20"/>
                <w:szCs w:val="20"/>
              </w:rPr>
              <w:t>Conference from 3rd to 5th November</w:t>
            </w:r>
          </w:p>
          <w:p w:rsidR="006B0956" w:rsidRDefault="000B12D2">
            <w:pPr>
              <w:pStyle w:val="Normal1"/>
              <w:numPr>
                <w:ilvl w:val="0"/>
                <w:numId w:val="5"/>
              </w:numPr>
              <w:ind w:hanging="360"/>
              <w:rPr>
                <w:sz w:val="20"/>
                <w:szCs w:val="20"/>
              </w:rPr>
            </w:pPr>
            <w:r>
              <w:rPr>
                <w:sz w:val="20"/>
                <w:szCs w:val="20"/>
              </w:rPr>
              <w:t>Workshop on the finalisation of the ASEAN Work Plan On Youth 2016 to 2020</w:t>
            </w:r>
          </w:p>
          <w:p w:rsidR="006B0956" w:rsidRDefault="000B12D2">
            <w:pPr>
              <w:pStyle w:val="Normal1"/>
              <w:numPr>
                <w:ilvl w:val="1"/>
                <w:numId w:val="5"/>
              </w:numPr>
              <w:ind w:hanging="360"/>
              <w:rPr>
                <w:sz w:val="20"/>
                <w:szCs w:val="20"/>
              </w:rPr>
            </w:pPr>
            <w:r>
              <w:rPr>
                <w:sz w:val="20"/>
                <w:szCs w:val="20"/>
              </w:rPr>
              <w:t xml:space="preserve">Naomi has also kindly shared her email address should there be any further clarifications needed on the workshop. </w:t>
            </w:r>
            <w:r>
              <w:rPr>
                <w:sz w:val="20"/>
                <w:szCs w:val="20"/>
                <w:highlight w:val="white"/>
              </w:rPr>
              <w:t>“</w:t>
            </w:r>
            <w:hyperlink r:id="rId8">
              <w:r>
                <w:rPr>
                  <w:color w:val="1155CC"/>
                  <w:sz w:val="21"/>
                  <w:szCs w:val="21"/>
                  <w:highlight w:val="white"/>
                  <w:u w:val="single"/>
                </w:rPr>
                <w:t>naomi.akamatsu@ifrc.org</w:t>
              </w:r>
            </w:hyperlink>
            <w:r>
              <w:rPr>
                <w:color w:val="323333"/>
                <w:sz w:val="21"/>
                <w:szCs w:val="21"/>
                <w:highlight w:val="white"/>
              </w:rPr>
              <w:t xml:space="preserve">” </w:t>
            </w:r>
          </w:p>
          <w:p w:rsidR="006B0956" w:rsidRDefault="000B12D2">
            <w:pPr>
              <w:pStyle w:val="Normal1"/>
              <w:numPr>
                <w:ilvl w:val="0"/>
                <w:numId w:val="5"/>
              </w:numPr>
              <w:ind w:hanging="360"/>
              <w:rPr>
                <w:sz w:val="20"/>
                <w:szCs w:val="20"/>
                <w:highlight w:val="white"/>
              </w:rPr>
            </w:pPr>
            <w:r>
              <w:rPr>
                <w:color w:val="323333"/>
                <w:sz w:val="20"/>
                <w:szCs w:val="20"/>
                <w:highlight w:val="white"/>
              </w:rPr>
              <w:t>Youth Engagement For A Better World pledge</w:t>
            </w:r>
          </w:p>
          <w:p w:rsidR="006B0956" w:rsidRDefault="000B12D2">
            <w:pPr>
              <w:pStyle w:val="Normal1"/>
              <w:numPr>
                <w:ilvl w:val="1"/>
                <w:numId w:val="5"/>
              </w:numPr>
              <w:ind w:hanging="360"/>
              <w:rPr>
                <w:sz w:val="20"/>
                <w:szCs w:val="20"/>
                <w:highlight w:val="white"/>
              </w:rPr>
            </w:pPr>
            <w:r>
              <w:rPr>
                <w:color w:val="323333"/>
                <w:sz w:val="20"/>
                <w:szCs w:val="20"/>
                <w:highlight w:val="white"/>
              </w:rPr>
              <w:t>The pledge will  be closed by the end of this month. Naomi urged all NSs to make the pledge if they have not done so.</w:t>
            </w:r>
          </w:p>
          <w:p w:rsidR="006B0956" w:rsidRDefault="006B0956">
            <w:pPr>
              <w:pStyle w:val="Normal1"/>
              <w:contextualSpacing w:val="0"/>
            </w:pPr>
          </w:p>
          <w:p w:rsidR="006B0956" w:rsidRDefault="000B12D2">
            <w:pPr>
              <w:pStyle w:val="Normal1"/>
              <w:contextualSpacing w:val="0"/>
            </w:pPr>
            <w:r>
              <w:rPr>
                <w:sz w:val="20"/>
                <w:szCs w:val="20"/>
              </w:rPr>
              <w:t>Refer to presentation slides for the above mentioned points for more details.</w:t>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contextualSpacing w:val="0"/>
            </w:pPr>
            <w:r>
              <w:rPr>
                <w:sz w:val="20"/>
                <w:szCs w:val="20"/>
                <w:highlight w:val="white"/>
              </w:rPr>
              <w:t xml:space="preserve">Naomi </w:t>
            </w:r>
            <w:proofErr w:type="spellStart"/>
            <w:r>
              <w:rPr>
                <w:sz w:val="20"/>
                <w:szCs w:val="20"/>
                <w:highlight w:val="white"/>
              </w:rPr>
              <w:t>Akamatsu</w:t>
            </w:r>
            <w:proofErr w:type="spellEnd"/>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t xml:space="preserve"> </w:t>
            </w:r>
          </w:p>
          <w:p w:rsidR="006B0956" w:rsidRDefault="000B12D2">
            <w:pPr>
              <w:pStyle w:val="Normal1"/>
              <w:widowControl w:val="0"/>
              <w:contextualSpacing w:val="0"/>
            </w:pPr>
            <w:r>
              <w:rPr>
                <w:sz w:val="20"/>
                <w:szCs w:val="20"/>
              </w:rPr>
              <w:lastRenderedPageBreak/>
              <w:t xml:space="preserve"> </w:t>
            </w:r>
          </w:p>
          <w:p w:rsidR="006B0956" w:rsidRDefault="000B12D2">
            <w:pPr>
              <w:pStyle w:val="Normal1"/>
              <w:widowControl w:val="0"/>
              <w:contextualSpacing w:val="0"/>
            </w:pPr>
            <w:r>
              <w:rPr>
                <w:sz w:val="20"/>
                <w:szCs w:val="20"/>
              </w:rPr>
              <w:t xml:space="preserve"> </w:t>
            </w:r>
          </w:p>
        </w:tc>
      </w:tr>
      <w:tr w:rsidR="006B0956">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contextualSpacing w:val="0"/>
            </w:pPr>
            <w:r>
              <w:rPr>
                <w:sz w:val="20"/>
                <w:szCs w:val="20"/>
              </w:rPr>
              <w:lastRenderedPageBreak/>
              <w:t>5</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u w:val="single"/>
              </w:rPr>
              <w:t>AOB</w:t>
            </w:r>
          </w:p>
          <w:p w:rsidR="006B0956" w:rsidRDefault="006B0956">
            <w:pPr>
              <w:pStyle w:val="Normal1"/>
              <w:widowControl w:val="0"/>
              <w:contextualSpacing w:val="0"/>
            </w:pPr>
          </w:p>
          <w:p w:rsidR="006B0956" w:rsidRDefault="000B12D2">
            <w:pPr>
              <w:pStyle w:val="Normal1"/>
              <w:widowControl w:val="0"/>
              <w:contextualSpacing w:val="0"/>
            </w:pPr>
            <w:r>
              <w:rPr>
                <w:sz w:val="20"/>
                <w:szCs w:val="20"/>
              </w:rPr>
              <w:t xml:space="preserve">If there are further inputs from National Societies to be included in the upcoming newsletter, they may send it to </w:t>
            </w:r>
            <w:proofErr w:type="spellStart"/>
            <w:r>
              <w:rPr>
                <w:sz w:val="20"/>
                <w:szCs w:val="20"/>
              </w:rPr>
              <w:t>Sahari</w:t>
            </w:r>
            <w:proofErr w:type="spellEnd"/>
            <w:r>
              <w:rPr>
                <w:sz w:val="20"/>
                <w:szCs w:val="20"/>
              </w:rPr>
              <w:t xml:space="preserve"> and copy </w:t>
            </w:r>
            <w:proofErr w:type="spellStart"/>
            <w:r>
              <w:rPr>
                <w:sz w:val="20"/>
                <w:szCs w:val="20"/>
              </w:rPr>
              <w:t>Kumju</w:t>
            </w:r>
            <w:proofErr w:type="spellEnd"/>
            <w:r>
              <w:rPr>
                <w:sz w:val="20"/>
                <w:szCs w:val="20"/>
              </w:rPr>
              <w:t xml:space="preserve"> in the email.</w:t>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contextualSpacing w:val="0"/>
            </w:pPr>
            <w:proofErr w:type="spellStart"/>
            <w:r>
              <w:rPr>
                <w:sz w:val="20"/>
                <w:szCs w:val="20"/>
              </w:rPr>
              <w:t>Sahari</w:t>
            </w:r>
            <w:proofErr w:type="spellEnd"/>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6B0956">
            <w:pPr>
              <w:pStyle w:val="Normal1"/>
              <w:ind w:hanging="20"/>
              <w:contextualSpacing w:val="0"/>
              <w:jc w:val="both"/>
            </w:pPr>
          </w:p>
        </w:tc>
      </w:tr>
      <w:tr w:rsidR="006B0956">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0956" w:rsidRDefault="000B12D2">
            <w:pPr>
              <w:pStyle w:val="Normal1"/>
              <w:contextualSpacing w:val="0"/>
            </w:pPr>
            <w:r>
              <w:rPr>
                <w:sz w:val="20"/>
                <w:szCs w:val="20"/>
              </w:rPr>
              <w:t>6</w:t>
            </w:r>
          </w:p>
        </w:tc>
        <w:tc>
          <w:tcPr>
            <w:tcW w:w="5760"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widowControl w:val="0"/>
              <w:contextualSpacing w:val="0"/>
            </w:pPr>
            <w:r>
              <w:rPr>
                <w:sz w:val="20"/>
                <w:szCs w:val="20"/>
                <w:u w:val="single"/>
              </w:rPr>
              <w:t>Closing</w:t>
            </w:r>
          </w:p>
          <w:p w:rsidR="006B0956" w:rsidRDefault="000B12D2">
            <w:pPr>
              <w:pStyle w:val="Normal1"/>
              <w:widowControl w:val="0"/>
              <w:contextualSpacing w:val="0"/>
            </w:pPr>
            <w:r>
              <w:rPr>
                <w:sz w:val="20"/>
                <w:szCs w:val="20"/>
              </w:rPr>
              <w:t>T</w:t>
            </w:r>
            <w:r>
              <w:rPr>
                <w:sz w:val="20"/>
                <w:szCs w:val="20"/>
                <w:highlight w:val="white"/>
              </w:rPr>
              <w:t>he 12th SEAYN online meeting to be held on the 1st week of the May, 3pm, Bangkok Time. The exact meeting date will be confirmed again.</w:t>
            </w:r>
          </w:p>
        </w:tc>
        <w:tc>
          <w:tcPr>
            <w:tcW w:w="1695" w:type="dxa"/>
            <w:tcBorders>
              <w:bottom w:val="single" w:sz="8" w:space="0" w:color="000000"/>
              <w:right w:val="single" w:sz="8" w:space="0" w:color="000000"/>
            </w:tcBorders>
            <w:tcMar>
              <w:top w:w="100" w:type="dxa"/>
              <w:left w:w="100" w:type="dxa"/>
              <w:bottom w:w="100" w:type="dxa"/>
              <w:right w:w="100" w:type="dxa"/>
            </w:tcMar>
          </w:tcPr>
          <w:p w:rsidR="006B0956" w:rsidRDefault="006B0956">
            <w:pPr>
              <w:pStyle w:val="Normal1"/>
              <w:contextualSpacing w:val="0"/>
            </w:pPr>
          </w:p>
        </w:tc>
        <w:tc>
          <w:tcPr>
            <w:tcW w:w="1365" w:type="dxa"/>
            <w:tcBorders>
              <w:bottom w:val="single" w:sz="8" w:space="0" w:color="000000"/>
              <w:right w:val="single" w:sz="8" w:space="0" w:color="000000"/>
            </w:tcBorders>
            <w:tcMar>
              <w:top w:w="100" w:type="dxa"/>
              <w:left w:w="100" w:type="dxa"/>
              <w:bottom w:w="100" w:type="dxa"/>
              <w:right w:w="100" w:type="dxa"/>
            </w:tcMar>
          </w:tcPr>
          <w:p w:rsidR="006B0956" w:rsidRDefault="000B12D2">
            <w:pPr>
              <w:pStyle w:val="Normal1"/>
              <w:ind w:hanging="20"/>
              <w:contextualSpacing w:val="0"/>
              <w:jc w:val="both"/>
            </w:pPr>
            <w:r>
              <w:rPr>
                <w:sz w:val="20"/>
                <w:szCs w:val="20"/>
              </w:rPr>
              <w:t xml:space="preserve"> </w:t>
            </w:r>
          </w:p>
        </w:tc>
      </w:tr>
    </w:tbl>
    <w:p w:rsidR="006B0956" w:rsidRDefault="000B12D2">
      <w:pPr>
        <w:pStyle w:val="Normal1"/>
        <w:ind w:left="720" w:right="5280" w:firstLine="720"/>
        <w:jc w:val="right"/>
      </w:pPr>
      <w:r>
        <w:rPr>
          <w:sz w:val="20"/>
          <w:szCs w:val="20"/>
        </w:rPr>
        <w:t xml:space="preserve"> </w:t>
      </w:r>
    </w:p>
    <w:p w:rsidR="006B0956" w:rsidRDefault="000B12D2">
      <w:pPr>
        <w:pStyle w:val="Normal1"/>
        <w:ind w:left="720" w:right="5280" w:firstLine="720"/>
        <w:jc w:val="right"/>
      </w:pPr>
      <w:r>
        <w:rPr>
          <w:sz w:val="20"/>
          <w:szCs w:val="20"/>
        </w:rPr>
        <w:t>END</w:t>
      </w:r>
    </w:p>
    <w:p w:rsidR="006B0956" w:rsidRDefault="006B0956">
      <w:pPr>
        <w:pStyle w:val="Normal1"/>
      </w:pPr>
    </w:p>
    <w:sectPr w:rsidR="006B095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BC" w:rsidRDefault="003C26BC">
      <w:pPr>
        <w:spacing w:line="240" w:lineRule="auto"/>
      </w:pPr>
      <w:r>
        <w:separator/>
      </w:r>
    </w:p>
  </w:endnote>
  <w:endnote w:type="continuationSeparator" w:id="0">
    <w:p w:rsidR="003C26BC" w:rsidRDefault="003C2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56" w:rsidRDefault="000B12D2">
    <w:pPr>
      <w:pStyle w:val="Normal1"/>
      <w:tabs>
        <w:tab w:val="center" w:pos="4513"/>
        <w:tab w:val="right" w:pos="9026"/>
      </w:tabs>
      <w:spacing w:after="720" w:line="240" w:lineRule="auto"/>
    </w:pPr>
    <w:r>
      <w:rPr>
        <w:rFonts w:ascii="Calibri" w:eastAsia="Calibri" w:hAnsi="Calibri" w:cs="Calibri"/>
        <w:sz w:val="20"/>
        <w:szCs w:val="20"/>
      </w:rPr>
      <w:t>Minutes 11</w:t>
    </w:r>
    <w:r>
      <w:rPr>
        <w:rFonts w:ascii="Calibri" w:eastAsia="Calibri" w:hAnsi="Calibri" w:cs="Calibri"/>
        <w:sz w:val="20"/>
        <w:szCs w:val="20"/>
        <w:vertAlign w:val="superscript"/>
      </w:rPr>
      <w:t>th</w:t>
    </w:r>
    <w:r>
      <w:rPr>
        <w:rFonts w:ascii="Calibri" w:eastAsia="Calibri" w:hAnsi="Calibri" w:cs="Calibri"/>
        <w:sz w:val="20"/>
        <w:szCs w:val="20"/>
      </w:rPr>
      <w:t xml:space="preserve"> SEAYN online meeting| </w:t>
    </w:r>
    <w:proofErr w:type="spellStart"/>
    <w:r>
      <w:rPr>
        <w:rFonts w:ascii="Calibri" w:eastAsia="Calibri" w:hAnsi="Calibri" w:cs="Calibri"/>
        <w:sz w:val="20"/>
        <w:szCs w:val="20"/>
      </w:rPr>
      <w:t>Tilynn</w:t>
    </w:r>
    <w:proofErr w:type="spellEnd"/>
    <w:r>
      <w:rPr>
        <w:rFonts w:ascii="Calibri" w:eastAsia="Calibri" w:hAnsi="Calibri" w:cs="Calibri"/>
        <w:sz w:val="20"/>
        <w:szCs w:val="20"/>
      </w:rPr>
      <w:t xml:space="preserve"> Low, Singapore RC| Validation by IFRC Country Cluster office    </w:t>
    </w:r>
    <w:r>
      <w:rPr>
        <w:rFonts w:ascii="Calibri" w:eastAsia="Calibri" w:hAnsi="Calibri" w:cs="Calibri"/>
        <w:sz w:val="20"/>
        <w:szCs w:val="20"/>
      </w:rPr>
      <w:tab/>
    </w:r>
    <w:r>
      <w:rPr>
        <w:rFonts w:ascii="Calibri" w:eastAsia="Calibri" w:hAnsi="Calibri" w:cs="Calibri"/>
        <w:sz w:val="20"/>
        <w:szCs w:val="20"/>
      </w:rPr>
      <w:tab/>
      <w:t xml:space="preserve">         Page | </w:t>
    </w:r>
    <w:r>
      <w:fldChar w:fldCharType="begin"/>
    </w:r>
    <w:r>
      <w:instrText>PAGE</w:instrText>
    </w:r>
    <w:r>
      <w:fldChar w:fldCharType="separate"/>
    </w:r>
    <w:r w:rsidR="00793A0D">
      <w:rPr>
        <w:noProof/>
      </w:rPr>
      <w:t>1</w:t>
    </w:r>
    <w:r>
      <w:fldChar w:fldCharType="end"/>
    </w:r>
    <w:r>
      <w:rPr>
        <w:rFonts w:ascii="Calibri" w:eastAsia="Calibri" w:hAnsi="Calibri" w:cs="Calibri"/>
        <w:sz w:val="20"/>
        <w:szCs w:val="20"/>
      </w:rPr>
      <w:t xml:space="preserve"> </w:t>
    </w:r>
  </w:p>
  <w:p w:rsidR="006B0956" w:rsidRDefault="006B0956">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BC" w:rsidRDefault="003C26BC">
      <w:pPr>
        <w:spacing w:line="240" w:lineRule="auto"/>
      </w:pPr>
      <w:r>
        <w:separator/>
      </w:r>
    </w:p>
  </w:footnote>
  <w:footnote w:type="continuationSeparator" w:id="0">
    <w:p w:rsidR="003C26BC" w:rsidRDefault="003C26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779"/>
    <w:multiLevelType w:val="multilevel"/>
    <w:tmpl w:val="D5281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4329F"/>
    <w:multiLevelType w:val="multilevel"/>
    <w:tmpl w:val="7F324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6C04E69"/>
    <w:multiLevelType w:val="multilevel"/>
    <w:tmpl w:val="970890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32EA6AE3"/>
    <w:multiLevelType w:val="multilevel"/>
    <w:tmpl w:val="C0F4D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A91093"/>
    <w:multiLevelType w:val="multilevel"/>
    <w:tmpl w:val="2200C4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9D94186"/>
    <w:multiLevelType w:val="multilevel"/>
    <w:tmpl w:val="D0D4EA9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6C640D9F"/>
    <w:multiLevelType w:val="multilevel"/>
    <w:tmpl w:val="5C34C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AE5C85"/>
    <w:multiLevelType w:val="multilevel"/>
    <w:tmpl w:val="44445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956"/>
    <w:rsid w:val="000B12D2"/>
    <w:rsid w:val="003C26BC"/>
    <w:rsid w:val="006B0956"/>
    <w:rsid w:val="00793A0D"/>
    <w:rsid w:val="00824B2A"/>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S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omi.akamatsu@ifr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Najasa88</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Tandiono</dc:creator>
  <cp:lastModifiedBy>Angeline Tandiono</cp:lastModifiedBy>
  <cp:revision>2</cp:revision>
  <dcterms:created xsi:type="dcterms:W3CDTF">2016-11-18T05:00:00Z</dcterms:created>
  <dcterms:modified xsi:type="dcterms:W3CDTF">2016-11-18T05:00:00Z</dcterms:modified>
</cp:coreProperties>
</file>