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E91D9D" w:rsidRDefault="009E2DC6" w:rsidP="00894E08">
      <w:pPr>
        <w:pStyle w:val="Projectsubtitle"/>
        <w:rPr>
          <w:rStyle w:val="Hyperlink"/>
          <w:rFonts w:ascii="Arial" w:hAnsi="Arial"/>
        </w:rPr>
      </w:pPr>
      <w:r>
        <w:rPr>
          <w:rFonts w:ascii="Arial Bold" w:hAnsi="Arial Bold"/>
          <w:sz w:val="52"/>
        </w:rPr>
        <w:t>Red Cross Red Crescent engagement with ASEAN</w:t>
      </w:r>
      <w:r w:rsidR="00894E08">
        <w:rPr>
          <w:rFonts w:ascii="Arial Bold" w:hAnsi="Arial Bold"/>
          <w:sz w:val="52"/>
        </w:rPr>
        <w:t>: a focus on the ASEAN Agreement for Disaster Management and Emergency Response</w:t>
      </w:r>
    </w:p>
    <w:p w:rsidR="00E91D9D" w:rsidRPr="009E2DC6" w:rsidRDefault="00A529D3" w:rsidP="00A529D3">
      <w:pPr>
        <w:pStyle w:val="Projectsubtitle"/>
        <w:rPr>
          <w:rFonts w:ascii="Arial" w:hAnsi="Arial" w:cs="Arial"/>
          <w:b/>
          <w:bCs/>
          <w:color w:val="595959"/>
        </w:rPr>
      </w:pPr>
      <w:r>
        <w:rPr>
          <w:rStyle w:val="Hyperlink"/>
          <w:rFonts w:ascii="Arial" w:hAnsi="Arial" w:cs="Arial"/>
          <w:b/>
          <w:bCs/>
          <w:color w:val="auto"/>
          <w:u w:val="none"/>
        </w:rPr>
        <w:t>RCRC overview</w:t>
      </w:r>
      <w:r w:rsidR="00F94139" w:rsidRPr="009E2DC6">
        <w:rPr>
          <w:rStyle w:val="Hyperlink"/>
          <w:rFonts w:ascii="Arial" w:hAnsi="Arial" w:cs="Arial"/>
          <w:b/>
          <w:bCs/>
          <w:color w:val="auto"/>
          <w:u w:val="none"/>
        </w:rPr>
        <w:t xml:space="preserve"> / </w:t>
      </w:r>
      <w:r w:rsidRPr="00375FCF">
        <w:rPr>
          <w:rStyle w:val="Hyperlink"/>
          <w:rFonts w:ascii="Arial" w:hAnsi="Arial" w:cs="Arial"/>
          <w:b/>
          <w:bCs/>
          <w:color w:val="FF0000"/>
          <w:u w:val="none"/>
        </w:rPr>
        <w:t xml:space="preserve">ACDM meeting, Brunei </w:t>
      </w:r>
      <w:r>
        <w:rPr>
          <w:rStyle w:val="Hyperlink"/>
          <w:rFonts w:ascii="Arial" w:hAnsi="Arial" w:cs="Arial"/>
          <w:b/>
          <w:bCs/>
          <w:color w:val="FF0000"/>
          <w:u w:val="none"/>
        </w:rPr>
        <w:t>Darussalam</w:t>
      </w:r>
      <w:r w:rsidR="00F94139" w:rsidRPr="009E2DC6">
        <w:rPr>
          <w:rStyle w:val="Hyperlink"/>
          <w:rFonts w:ascii="Arial" w:hAnsi="Arial" w:cs="Arial"/>
          <w:b/>
          <w:bCs/>
          <w:color w:val="auto"/>
          <w:u w:val="none"/>
        </w:rPr>
        <w:t xml:space="preserve"> </w:t>
      </w:r>
      <w:r w:rsidR="00F94139" w:rsidRPr="009E2DC6">
        <w:rPr>
          <w:rFonts w:ascii="Arial" w:hAnsi="Arial" w:cs="Arial"/>
          <w:b/>
          <w:bCs/>
          <w:color w:val="595959"/>
        </w:rPr>
        <w:t xml:space="preserve">/ </w:t>
      </w:r>
      <w:r>
        <w:rPr>
          <w:rFonts w:ascii="Arial" w:hAnsi="Arial" w:cs="Arial"/>
          <w:b/>
          <w:bCs/>
          <w:color w:val="595959"/>
        </w:rPr>
        <w:t>October 2014</w:t>
      </w:r>
    </w:p>
    <w:p w:rsidR="009E2DC6" w:rsidRPr="00A529D3" w:rsidRDefault="009E2DC6" w:rsidP="00A529D3">
      <w:pPr>
        <w:rPr>
          <w:rFonts w:ascii="Arial Bold" w:hAnsi="Arial Bold"/>
        </w:rPr>
      </w:pPr>
      <w:r>
        <w:rPr>
          <w:rFonts w:ascii="Arial Bold" w:hAnsi="Arial Bold"/>
        </w:rPr>
        <w:t xml:space="preserve"> </w:t>
      </w:r>
    </w:p>
    <w:p w:rsidR="009E2DC6" w:rsidRPr="009E2DC6" w:rsidRDefault="009E2DC6" w:rsidP="009E2DC6">
      <w:pPr>
        <w:pStyle w:val="Heading1"/>
      </w:pPr>
      <w:r w:rsidRPr="009E2DC6">
        <w:t>Background</w:t>
      </w:r>
    </w:p>
    <w:p w:rsidR="009E2DC6" w:rsidRDefault="009E2DC6" w:rsidP="00493749">
      <w:pPr>
        <w:rPr>
          <w:rFonts w:cs="Arial"/>
        </w:rPr>
      </w:pPr>
      <w:r w:rsidRPr="009E2DC6">
        <w:rPr>
          <w:rFonts w:cs="Arial"/>
        </w:rPr>
        <w:t>The International Federation of Red Cross and Red Crescent Societies (IFRC) Southeast Asia regional delegation serves as a coordinating body among National Red Cross and Red Crescent Societies, which are present in each country that is part of the Association of</w:t>
      </w:r>
      <w:r w:rsidR="003136A2">
        <w:rPr>
          <w:rFonts w:cs="Arial"/>
        </w:rPr>
        <w:t xml:space="preserve"> Southeast Asian Nations (ASEAN)</w:t>
      </w:r>
      <w:r w:rsidRPr="009E2DC6">
        <w:rPr>
          <w:rFonts w:cs="Arial"/>
        </w:rPr>
        <w:t>.</w:t>
      </w:r>
      <w:r w:rsidR="001A5CD2">
        <w:rPr>
          <w:rFonts w:cs="Arial"/>
        </w:rPr>
        <w:t xml:space="preserve"> </w:t>
      </w:r>
      <w:r w:rsidRPr="009E2DC6">
        <w:rPr>
          <w:rFonts w:cs="Arial"/>
        </w:rPr>
        <w:t>The following document outlines key areas of collaboration between ASEAN, the IFRC as well as National Red Cross Red Crescent Societies</w:t>
      </w:r>
      <w:r w:rsidR="00894E08">
        <w:rPr>
          <w:rFonts w:cs="Arial"/>
        </w:rPr>
        <w:t>, in their joint effort to operationalize the ASEAN Agreement for Disaster Management and Emergency Response (AADMER).</w:t>
      </w:r>
    </w:p>
    <w:p w:rsidR="00493749" w:rsidRPr="00493749" w:rsidRDefault="00493749" w:rsidP="00493749">
      <w:pPr>
        <w:rPr>
          <w:rFonts w:cs="Arial"/>
        </w:rPr>
      </w:pPr>
    </w:p>
    <w:p w:rsidR="009E2DC6" w:rsidRPr="009E2DC6" w:rsidRDefault="009E2DC6" w:rsidP="009E2DC6">
      <w:pPr>
        <w:pStyle w:val="Heading2"/>
        <w:rPr>
          <w:rFonts w:cs="Arial"/>
        </w:rPr>
      </w:pPr>
      <w:r w:rsidRPr="009E2DC6">
        <w:rPr>
          <w:rFonts w:cs="Arial"/>
        </w:rPr>
        <w:t>Cooperation Framework</w:t>
      </w:r>
      <w:r w:rsidR="00B34D01">
        <w:rPr>
          <w:rFonts w:cs="Arial"/>
        </w:rPr>
        <w:t>: ASEAN and the IFRC</w:t>
      </w:r>
    </w:p>
    <w:p w:rsidR="009E2DC6" w:rsidRPr="009E2DC6" w:rsidRDefault="009E2DC6" w:rsidP="0053764A">
      <w:pPr>
        <w:rPr>
          <w:rFonts w:cs="Arial"/>
          <w:lang w:eastAsia="en-GB"/>
        </w:rPr>
      </w:pPr>
      <w:r w:rsidRPr="009E2DC6">
        <w:rPr>
          <w:rFonts w:cs="Arial"/>
          <w:lang w:eastAsia="en-GB"/>
        </w:rPr>
        <w:t>In 2008, with strong momentum from the National Societies in Southeast Asia, the IFRC Southeast Asia regional delegation initiated a Cooperation Framework between ASEAN and the IFRC and National Societies</w:t>
      </w:r>
      <w:r w:rsidRPr="009E2DC6">
        <w:rPr>
          <w:rStyle w:val="FootnoteReference"/>
          <w:rFonts w:cs="Arial"/>
          <w:lang w:eastAsia="en-GB"/>
        </w:rPr>
        <w:footnoteReference w:id="1"/>
      </w:r>
      <w:r w:rsidRPr="009E2DC6">
        <w:rPr>
          <w:rFonts w:cs="Arial"/>
          <w:lang w:eastAsia="en-GB"/>
        </w:rPr>
        <w:t xml:space="preserve">, in order to solidify the relationship, strengthen and </w:t>
      </w:r>
      <w:r w:rsidR="00894E08" w:rsidRPr="009E2DC6">
        <w:rPr>
          <w:rFonts w:cs="Arial"/>
          <w:lang w:eastAsia="en-GB"/>
        </w:rPr>
        <w:t>formalize</w:t>
      </w:r>
      <w:r w:rsidRPr="009E2DC6">
        <w:rPr>
          <w:rFonts w:cs="Arial"/>
          <w:lang w:eastAsia="en-GB"/>
        </w:rPr>
        <w:t xml:space="preserve"> coordination between both the IFRC and ASEAN. This Cooperation Framework is still being discussed with the ASEAN secretariat and under review by A</w:t>
      </w:r>
      <w:r w:rsidR="00BF40F7">
        <w:rPr>
          <w:rFonts w:cs="Arial"/>
          <w:lang w:eastAsia="en-GB"/>
        </w:rPr>
        <w:t xml:space="preserve">SEAN Committee for Disaster Management </w:t>
      </w:r>
      <w:r w:rsidRPr="009E2DC6">
        <w:rPr>
          <w:rFonts w:cs="Arial"/>
          <w:lang w:eastAsia="en-GB"/>
        </w:rPr>
        <w:t>members.</w:t>
      </w:r>
    </w:p>
    <w:p w:rsidR="009E2DC6" w:rsidRPr="009E2DC6" w:rsidRDefault="009E2DC6" w:rsidP="002E7957">
      <w:pPr>
        <w:rPr>
          <w:rFonts w:cs="Arial"/>
          <w:lang w:eastAsia="en-GB"/>
        </w:rPr>
      </w:pPr>
      <w:r w:rsidRPr="009E2DC6">
        <w:rPr>
          <w:rFonts w:cs="Arial"/>
          <w:lang w:eastAsia="en-GB"/>
        </w:rPr>
        <w:t xml:space="preserve">The Framework itself </w:t>
      </w:r>
      <w:r w:rsidR="00DD7ECC" w:rsidRPr="009E2DC6">
        <w:rPr>
          <w:rFonts w:cs="Arial"/>
          <w:lang w:eastAsia="en-GB"/>
        </w:rPr>
        <w:t>recognizes</w:t>
      </w:r>
      <w:r w:rsidRPr="009E2DC6">
        <w:rPr>
          <w:rFonts w:cs="Arial"/>
          <w:lang w:eastAsia="en-GB"/>
        </w:rPr>
        <w:t xml:space="preserve"> not only the similar mandate and vision of both </w:t>
      </w:r>
      <w:r w:rsidR="00DD7ECC" w:rsidRPr="009E2DC6">
        <w:rPr>
          <w:rFonts w:cs="Arial"/>
          <w:lang w:eastAsia="en-GB"/>
        </w:rPr>
        <w:t>organizations</w:t>
      </w:r>
      <w:r w:rsidRPr="009E2DC6">
        <w:rPr>
          <w:rFonts w:cs="Arial"/>
          <w:lang w:eastAsia="en-GB"/>
        </w:rPr>
        <w:t>, but as well the need for both parties to work more closely and in a more coordinated manner; particularly in light of ASEAN’s Agreement on Disaster Ma</w:t>
      </w:r>
      <w:r w:rsidR="002E7957">
        <w:rPr>
          <w:rFonts w:cs="Arial"/>
          <w:lang w:eastAsia="en-GB"/>
        </w:rPr>
        <w:t xml:space="preserve">nagement and Emergency Response, </w:t>
      </w:r>
      <w:r w:rsidRPr="009E2DC6">
        <w:rPr>
          <w:rFonts w:cs="Arial"/>
          <w:lang w:eastAsia="en-GB"/>
        </w:rPr>
        <w:t xml:space="preserve">which outlines the need for ASEAN member States to undertake cooperation activities to increase preparedness and mitigate disasters. This also includes areas of collaboration on humanitarian issues such as gender, migration, and more. </w:t>
      </w:r>
    </w:p>
    <w:p w:rsidR="009E2DC6" w:rsidRPr="009E2DC6" w:rsidRDefault="009E2DC6" w:rsidP="009E2DC6">
      <w:pPr>
        <w:spacing w:before="0"/>
        <w:jc w:val="both"/>
        <w:rPr>
          <w:rFonts w:cs="Arial"/>
          <w:sz w:val="23"/>
          <w:szCs w:val="23"/>
        </w:rPr>
      </w:pPr>
    </w:p>
    <w:p w:rsidR="009E2DC6" w:rsidRPr="009E2DC6" w:rsidRDefault="009E2DC6" w:rsidP="002E7957">
      <w:pPr>
        <w:pStyle w:val="Heading2"/>
      </w:pPr>
      <w:r w:rsidRPr="009E2DC6">
        <w:t>Technical cooperation with AHA Centre</w:t>
      </w:r>
    </w:p>
    <w:p w:rsidR="009E2DC6" w:rsidRDefault="009E2DC6" w:rsidP="00B55F6C">
      <w:pPr>
        <w:spacing w:before="0"/>
        <w:rPr>
          <w:rFonts w:cs="Arial"/>
          <w:szCs w:val="22"/>
        </w:rPr>
      </w:pPr>
      <w:r w:rsidRPr="002E7957">
        <w:rPr>
          <w:rFonts w:cs="Arial"/>
          <w:szCs w:val="22"/>
        </w:rPr>
        <w:t>The t</w:t>
      </w:r>
      <w:r w:rsidR="002E7957">
        <w:rPr>
          <w:rFonts w:cs="Arial"/>
          <w:szCs w:val="22"/>
        </w:rPr>
        <w:t>echnical cooperation between National Red Cross and Red Crescent Societies</w:t>
      </w:r>
      <w:r w:rsidRPr="002E7957">
        <w:rPr>
          <w:rFonts w:cs="Arial"/>
          <w:szCs w:val="22"/>
        </w:rPr>
        <w:t xml:space="preserve">, </w:t>
      </w:r>
      <w:r w:rsidR="002E7957">
        <w:rPr>
          <w:rFonts w:cs="Arial"/>
          <w:szCs w:val="22"/>
        </w:rPr>
        <w:t>the IFRC and ASEAN Coordinating</w:t>
      </w:r>
      <w:r w:rsidRPr="002E7957">
        <w:rPr>
          <w:rFonts w:cs="Arial"/>
          <w:szCs w:val="22"/>
        </w:rPr>
        <w:t xml:space="preserve"> Centre </w:t>
      </w:r>
      <w:r w:rsidR="002E7957">
        <w:rPr>
          <w:rFonts w:cs="Arial"/>
          <w:szCs w:val="22"/>
        </w:rPr>
        <w:t xml:space="preserve">for Humanitarian Assistance </w:t>
      </w:r>
      <w:r w:rsidRPr="002E7957">
        <w:rPr>
          <w:rFonts w:cs="Arial"/>
          <w:szCs w:val="22"/>
        </w:rPr>
        <w:t>is gaining momentum in 2014</w:t>
      </w:r>
      <w:r w:rsidR="002E7957">
        <w:rPr>
          <w:rFonts w:cs="Arial"/>
          <w:szCs w:val="22"/>
        </w:rPr>
        <w:t>. This is preceded by a visit by the Director of the</w:t>
      </w:r>
      <w:r w:rsidRPr="002E7957">
        <w:rPr>
          <w:rFonts w:cs="Arial"/>
          <w:szCs w:val="22"/>
        </w:rPr>
        <w:t xml:space="preserve"> AHA Centre Director </w:t>
      </w:r>
      <w:r w:rsidR="002E7957">
        <w:rPr>
          <w:rFonts w:cs="Arial"/>
          <w:szCs w:val="22"/>
        </w:rPr>
        <w:t>at the</w:t>
      </w:r>
      <w:r w:rsidRPr="002E7957">
        <w:rPr>
          <w:rFonts w:cs="Arial"/>
          <w:szCs w:val="22"/>
        </w:rPr>
        <w:t xml:space="preserve"> recent Community Safety and Resilience Forum in </w:t>
      </w:r>
      <w:r w:rsidRPr="00BF40F7">
        <w:rPr>
          <w:rFonts w:cs="Arial"/>
          <w:szCs w:val="22"/>
        </w:rPr>
        <w:t xml:space="preserve">Bangkok </w:t>
      </w:r>
      <w:r w:rsidR="002E7957" w:rsidRPr="00BF40F7">
        <w:rPr>
          <w:rFonts w:cs="Arial"/>
          <w:szCs w:val="22"/>
        </w:rPr>
        <w:t>(Sept 201</w:t>
      </w:r>
      <w:r w:rsidR="00BF40F7" w:rsidRPr="00BF40F7">
        <w:rPr>
          <w:rFonts w:cs="Arial"/>
          <w:szCs w:val="22"/>
        </w:rPr>
        <w:t>4</w:t>
      </w:r>
      <w:r w:rsidR="002E7957">
        <w:rPr>
          <w:rFonts w:cs="Arial"/>
          <w:szCs w:val="22"/>
        </w:rPr>
        <w:t xml:space="preserve">), </w:t>
      </w:r>
      <w:r w:rsidRPr="002E7957">
        <w:rPr>
          <w:rFonts w:cs="Arial"/>
          <w:szCs w:val="22"/>
        </w:rPr>
        <w:t xml:space="preserve">which brought together </w:t>
      </w:r>
      <w:r w:rsidR="002E7957">
        <w:rPr>
          <w:rFonts w:cs="Arial"/>
          <w:szCs w:val="22"/>
        </w:rPr>
        <w:t xml:space="preserve">directors from </w:t>
      </w:r>
      <w:r w:rsidRPr="002E7957">
        <w:rPr>
          <w:rFonts w:cs="Arial"/>
          <w:szCs w:val="22"/>
        </w:rPr>
        <w:t xml:space="preserve">disaster management, health and organizational development </w:t>
      </w:r>
      <w:r w:rsidR="002E7957">
        <w:rPr>
          <w:rFonts w:cs="Arial"/>
          <w:szCs w:val="22"/>
        </w:rPr>
        <w:t xml:space="preserve">of 11 </w:t>
      </w:r>
      <w:r w:rsidRPr="002E7957">
        <w:rPr>
          <w:rFonts w:cs="Arial"/>
          <w:szCs w:val="22"/>
        </w:rPr>
        <w:t xml:space="preserve">Southeast Asian National Societies. A draft joint action plan was drafted subsequently and </w:t>
      </w:r>
      <w:r w:rsidR="002E7957">
        <w:rPr>
          <w:rFonts w:cs="Arial"/>
          <w:szCs w:val="22"/>
        </w:rPr>
        <w:t>further discussed o</w:t>
      </w:r>
      <w:r w:rsidRPr="002E7957">
        <w:rPr>
          <w:rFonts w:cs="Arial"/>
          <w:szCs w:val="22"/>
        </w:rPr>
        <w:t>n 8 October 2014</w:t>
      </w:r>
      <w:r w:rsidR="002E7957">
        <w:rPr>
          <w:rFonts w:cs="Arial"/>
          <w:szCs w:val="22"/>
        </w:rPr>
        <w:t xml:space="preserve"> at the AHA Centre</w:t>
      </w:r>
      <w:r w:rsidRPr="002E7957">
        <w:rPr>
          <w:rFonts w:cs="Arial"/>
          <w:szCs w:val="22"/>
        </w:rPr>
        <w:t xml:space="preserve">. Key areas of cooperation identified </w:t>
      </w:r>
      <w:r w:rsidR="002E7957">
        <w:rPr>
          <w:rFonts w:cs="Arial"/>
          <w:szCs w:val="22"/>
        </w:rPr>
        <w:t xml:space="preserve">by all partners </w:t>
      </w:r>
      <w:r w:rsidRPr="002E7957">
        <w:rPr>
          <w:rFonts w:cs="Arial"/>
          <w:szCs w:val="22"/>
        </w:rPr>
        <w:t>include</w:t>
      </w:r>
      <w:r w:rsidR="002E7957">
        <w:rPr>
          <w:rFonts w:cs="Arial"/>
          <w:szCs w:val="22"/>
        </w:rPr>
        <w:t>:</w:t>
      </w:r>
      <w:r w:rsidRPr="002E7957">
        <w:rPr>
          <w:rFonts w:cs="Arial"/>
          <w:szCs w:val="22"/>
        </w:rPr>
        <w:t xml:space="preserve"> information sharing, formulation of operational frameworks</w:t>
      </w:r>
      <w:r w:rsidR="002E7957">
        <w:rPr>
          <w:rFonts w:cs="Arial"/>
          <w:szCs w:val="22"/>
        </w:rPr>
        <w:t>, and</w:t>
      </w:r>
      <w:r w:rsidRPr="002E7957">
        <w:rPr>
          <w:rFonts w:cs="Arial"/>
          <w:szCs w:val="22"/>
        </w:rPr>
        <w:t xml:space="preserve"> common leaning and capacity-building activities. </w:t>
      </w:r>
      <w:r w:rsidR="00BF40F7">
        <w:rPr>
          <w:rFonts w:cs="Arial"/>
          <w:szCs w:val="22"/>
        </w:rPr>
        <w:t xml:space="preserve"> </w:t>
      </w:r>
      <w:r w:rsidRPr="002E7957">
        <w:rPr>
          <w:rFonts w:cs="Arial"/>
          <w:szCs w:val="22"/>
        </w:rPr>
        <w:t xml:space="preserve"> </w:t>
      </w:r>
    </w:p>
    <w:p w:rsidR="00B55F6C" w:rsidRDefault="00B55F6C" w:rsidP="00B55F6C">
      <w:pPr>
        <w:spacing w:before="0"/>
        <w:rPr>
          <w:rFonts w:cs="Arial"/>
          <w:szCs w:val="22"/>
        </w:rPr>
      </w:pPr>
    </w:p>
    <w:p w:rsidR="0053764A" w:rsidRPr="00B55F6C" w:rsidRDefault="0053764A" w:rsidP="00B55F6C">
      <w:pPr>
        <w:spacing w:before="0"/>
        <w:rPr>
          <w:rFonts w:cs="Arial"/>
          <w:szCs w:val="22"/>
        </w:rPr>
      </w:pPr>
    </w:p>
    <w:p w:rsidR="009E2DC6" w:rsidRPr="002E7957" w:rsidRDefault="009E2DC6" w:rsidP="00A41CFC">
      <w:pPr>
        <w:pStyle w:val="Heading2"/>
      </w:pPr>
      <w:r w:rsidRPr="002E7957">
        <w:lastRenderedPageBreak/>
        <w:t xml:space="preserve">AADMER Report </w:t>
      </w:r>
    </w:p>
    <w:p w:rsidR="0012739C" w:rsidRDefault="00BF40F7" w:rsidP="0012739C">
      <w:pPr>
        <w:spacing w:before="0"/>
        <w:rPr>
          <w:rFonts w:cs="Arial"/>
          <w:szCs w:val="22"/>
        </w:rPr>
      </w:pPr>
      <w:r>
        <w:rPr>
          <w:rFonts w:cs="Arial"/>
          <w:szCs w:val="22"/>
        </w:rPr>
        <w:t xml:space="preserve">The </w:t>
      </w:r>
      <w:r w:rsidR="00A41CFC">
        <w:rPr>
          <w:rFonts w:cs="Arial"/>
          <w:szCs w:val="22"/>
        </w:rPr>
        <w:t>I</w:t>
      </w:r>
      <w:r w:rsidR="009E2DC6" w:rsidRPr="002E7957">
        <w:rPr>
          <w:rFonts w:cs="Arial"/>
          <w:szCs w:val="22"/>
        </w:rPr>
        <w:t xml:space="preserve">FRC is </w:t>
      </w:r>
      <w:r w:rsidR="008F2984">
        <w:rPr>
          <w:rFonts w:cs="Arial"/>
          <w:szCs w:val="22"/>
        </w:rPr>
        <w:t>presently</w:t>
      </w:r>
      <w:r w:rsidR="009E2DC6" w:rsidRPr="002E7957">
        <w:rPr>
          <w:rFonts w:cs="Arial"/>
          <w:szCs w:val="22"/>
        </w:rPr>
        <w:t xml:space="preserve"> compil</w:t>
      </w:r>
      <w:r w:rsidR="008F2984">
        <w:rPr>
          <w:rFonts w:cs="Arial"/>
          <w:szCs w:val="22"/>
        </w:rPr>
        <w:t>ing</w:t>
      </w:r>
      <w:r w:rsidR="009E2DC6" w:rsidRPr="002E7957">
        <w:rPr>
          <w:rFonts w:cs="Arial"/>
          <w:szCs w:val="22"/>
        </w:rPr>
        <w:t xml:space="preserve"> financial and</w:t>
      </w:r>
      <w:r>
        <w:rPr>
          <w:rFonts w:cs="Arial"/>
          <w:szCs w:val="22"/>
        </w:rPr>
        <w:t xml:space="preserve"> narrative data from the past 3 years, in order to document </w:t>
      </w:r>
      <w:r w:rsidR="000413CB">
        <w:rPr>
          <w:rFonts w:cs="Arial"/>
          <w:szCs w:val="22"/>
        </w:rPr>
        <w:t xml:space="preserve">the contribution of the </w:t>
      </w:r>
      <w:r>
        <w:rPr>
          <w:rFonts w:cs="Arial"/>
          <w:szCs w:val="22"/>
        </w:rPr>
        <w:t>Red Cross Red Crescent</w:t>
      </w:r>
      <w:r w:rsidR="009E2DC6" w:rsidRPr="002E7957">
        <w:rPr>
          <w:rFonts w:cs="Arial"/>
          <w:szCs w:val="22"/>
        </w:rPr>
        <w:t xml:space="preserve"> </w:t>
      </w:r>
      <w:r w:rsidR="000413CB">
        <w:rPr>
          <w:rFonts w:cs="Arial"/>
          <w:szCs w:val="22"/>
        </w:rPr>
        <w:t xml:space="preserve">on </w:t>
      </w:r>
      <w:r>
        <w:rPr>
          <w:rFonts w:cs="Arial"/>
          <w:szCs w:val="22"/>
        </w:rPr>
        <w:t xml:space="preserve">the </w:t>
      </w:r>
      <w:r w:rsidR="009E2DC6" w:rsidRPr="002E7957">
        <w:rPr>
          <w:rFonts w:cs="Arial"/>
          <w:szCs w:val="22"/>
        </w:rPr>
        <w:t>implementation of AADMER</w:t>
      </w:r>
      <w:r>
        <w:rPr>
          <w:rFonts w:cs="Arial"/>
          <w:szCs w:val="22"/>
        </w:rPr>
        <w:t xml:space="preserve">. </w:t>
      </w:r>
      <w:r w:rsidR="0012739C">
        <w:rPr>
          <w:rFonts w:cs="Arial"/>
          <w:szCs w:val="22"/>
        </w:rPr>
        <w:t xml:space="preserve">At the country level, the contribution of National Societies is being documented against the Hyogo Framework of Action. This will be further combined into an overall Red Cross Red Crescent </w:t>
      </w:r>
      <w:r w:rsidR="00B55F6C">
        <w:rPr>
          <w:rFonts w:cs="Arial"/>
          <w:szCs w:val="22"/>
        </w:rPr>
        <w:t>AADMER report, against the workplan agreed upon in 2010 by ASEAN member states.</w:t>
      </w:r>
      <w:r w:rsidR="0012739C">
        <w:rPr>
          <w:rFonts w:cs="Arial"/>
          <w:szCs w:val="22"/>
        </w:rPr>
        <w:t xml:space="preserve"> </w:t>
      </w:r>
    </w:p>
    <w:p w:rsidR="009E2DC6" w:rsidRPr="00B55F6C" w:rsidRDefault="00B55F6C" w:rsidP="00B55F6C">
      <w:pPr>
        <w:spacing w:before="0"/>
        <w:rPr>
          <w:rFonts w:cs="Arial"/>
          <w:szCs w:val="22"/>
        </w:rPr>
      </w:pPr>
      <w:r>
        <w:rPr>
          <w:rFonts w:cs="Arial"/>
          <w:szCs w:val="22"/>
        </w:rPr>
        <w:t xml:space="preserve"> </w:t>
      </w:r>
    </w:p>
    <w:p w:rsidR="009E2DC6" w:rsidRPr="002E7957" w:rsidRDefault="00B55F6C" w:rsidP="00B55F6C">
      <w:pPr>
        <w:pStyle w:val="Heading2"/>
      </w:pPr>
      <w:r>
        <w:t>Joint simulation e</w:t>
      </w:r>
      <w:r w:rsidR="009E2DC6" w:rsidRPr="002E7957">
        <w:t xml:space="preserve">xercise </w:t>
      </w:r>
    </w:p>
    <w:p w:rsidR="009E2DC6" w:rsidRPr="002E7957" w:rsidRDefault="00B55F6C" w:rsidP="00B55F6C">
      <w:pPr>
        <w:spacing w:before="0"/>
        <w:rPr>
          <w:rFonts w:cs="Arial"/>
          <w:szCs w:val="22"/>
        </w:rPr>
      </w:pPr>
      <w:r>
        <w:rPr>
          <w:rFonts w:cs="Arial"/>
          <w:szCs w:val="22"/>
        </w:rPr>
        <w:t xml:space="preserve">The </w:t>
      </w:r>
      <w:r w:rsidR="009E2DC6" w:rsidRPr="002E7957">
        <w:rPr>
          <w:rFonts w:cs="Arial"/>
          <w:szCs w:val="22"/>
        </w:rPr>
        <w:t xml:space="preserve">IFRC </w:t>
      </w:r>
      <w:r>
        <w:rPr>
          <w:rFonts w:cs="Arial"/>
          <w:szCs w:val="22"/>
        </w:rPr>
        <w:t xml:space="preserve">is </w:t>
      </w:r>
      <w:r w:rsidR="009E2DC6" w:rsidRPr="002E7957">
        <w:rPr>
          <w:rFonts w:cs="Arial"/>
          <w:szCs w:val="22"/>
        </w:rPr>
        <w:t xml:space="preserve">technically and financially </w:t>
      </w:r>
      <w:r>
        <w:rPr>
          <w:rFonts w:cs="Arial"/>
          <w:szCs w:val="22"/>
        </w:rPr>
        <w:t>supporting N</w:t>
      </w:r>
      <w:r w:rsidR="009E2DC6" w:rsidRPr="002E7957">
        <w:rPr>
          <w:rFonts w:cs="Arial"/>
          <w:szCs w:val="22"/>
        </w:rPr>
        <w:t>ational Societies</w:t>
      </w:r>
      <w:r>
        <w:rPr>
          <w:rFonts w:cs="Arial"/>
          <w:szCs w:val="22"/>
        </w:rPr>
        <w:t>’</w:t>
      </w:r>
      <w:r w:rsidR="009E2DC6" w:rsidRPr="002E7957">
        <w:rPr>
          <w:rFonts w:cs="Arial"/>
          <w:szCs w:val="22"/>
        </w:rPr>
        <w:t xml:space="preserve"> participation in ASEAN</w:t>
      </w:r>
      <w:r>
        <w:rPr>
          <w:rFonts w:cs="Arial"/>
          <w:szCs w:val="22"/>
        </w:rPr>
        <w:t>’s</w:t>
      </w:r>
      <w:r w:rsidR="009E2DC6" w:rsidRPr="002E7957">
        <w:rPr>
          <w:rFonts w:cs="Arial"/>
          <w:szCs w:val="22"/>
        </w:rPr>
        <w:t xml:space="preserve"> regional civil military simulation exercise</w:t>
      </w:r>
      <w:r>
        <w:rPr>
          <w:rFonts w:cs="Arial"/>
          <w:szCs w:val="22"/>
        </w:rPr>
        <w:t>s including</w:t>
      </w:r>
      <w:r w:rsidR="009E2DC6" w:rsidRPr="002E7957">
        <w:rPr>
          <w:rFonts w:cs="Arial"/>
          <w:szCs w:val="22"/>
        </w:rPr>
        <w:t>:</w:t>
      </w:r>
    </w:p>
    <w:p w:rsidR="009E2DC6" w:rsidRPr="00B55F6C" w:rsidRDefault="009E2DC6" w:rsidP="00EC3A1B">
      <w:pPr>
        <w:rPr>
          <w:rFonts w:cs="Arial"/>
          <w:sz w:val="20"/>
          <w:szCs w:val="20"/>
        </w:rPr>
      </w:pPr>
      <w:r w:rsidRPr="00B55F6C">
        <w:rPr>
          <w:rFonts w:cs="Arial"/>
          <w:b/>
          <w:bCs/>
          <w:i/>
          <w:sz w:val="20"/>
          <w:szCs w:val="20"/>
        </w:rPr>
        <w:t>DiREx 2013 in Thailand</w:t>
      </w:r>
      <w:r w:rsidRPr="00B55F6C">
        <w:rPr>
          <w:rFonts w:cs="Arial"/>
          <w:sz w:val="20"/>
          <w:szCs w:val="20"/>
        </w:rPr>
        <w:t xml:space="preserve"> – Co-hosted</w:t>
      </w:r>
      <w:r w:rsidR="00B55F6C">
        <w:rPr>
          <w:rFonts w:cs="Arial"/>
          <w:sz w:val="20"/>
          <w:szCs w:val="20"/>
        </w:rPr>
        <w:t xml:space="preserve"> by the Royal Thai Government, the</w:t>
      </w:r>
      <w:r w:rsidRPr="00B55F6C">
        <w:rPr>
          <w:rFonts w:cs="Arial"/>
          <w:sz w:val="20"/>
          <w:szCs w:val="20"/>
        </w:rPr>
        <w:t xml:space="preserve"> South Korean Government</w:t>
      </w:r>
      <w:r w:rsidR="00B55F6C">
        <w:rPr>
          <w:rFonts w:cs="Arial"/>
          <w:sz w:val="20"/>
          <w:szCs w:val="20"/>
        </w:rPr>
        <w:t xml:space="preserve"> and</w:t>
      </w:r>
      <w:r w:rsidRPr="00B55F6C">
        <w:rPr>
          <w:rFonts w:cs="Arial"/>
          <w:sz w:val="20"/>
          <w:szCs w:val="20"/>
        </w:rPr>
        <w:t xml:space="preserve"> the Thai Red Cross</w:t>
      </w:r>
      <w:r w:rsidR="00407B22">
        <w:rPr>
          <w:rFonts w:cs="Arial"/>
          <w:sz w:val="20"/>
          <w:szCs w:val="20"/>
        </w:rPr>
        <w:t>. IFRC provided</w:t>
      </w:r>
      <w:r w:rsidRPr="00B55F6C">
        <w:rPr>
          <w:rFonts w:cs="Arial"/>
          <w:sz w:val="20"/>
          <w:szCs w:val="20"/>
        </w:rPr>
        <w:t xml:space="preserve"> technical support </w:t>
      </w:r>
      <w:r w:rsidR="00EC3A1B">
        <w:rPr>
          <w:rFonts w:cs="Arial"/>
          <w:sz w:val="20"/>
          <w:szCs w:val="20"/>
        </w:rPr>
        <w:t>with the table topic exercise on disaster law and the mobilization of volunteers.</w:t>
      </w:r>
      <w:r w:rsidRPr="00B55F6C">
        <w:rPr>
          <w:rFonts w:cs="Arial"/>
          <w:sz w:val="20"/>
          <w:szCs w:val="20"/>
        </w:rPr>
        <w:t xml:space="preserve"> </w:t>
      </w:r>
      <w:r w:rsidR="00EC3A1B">
        <w:rPr>
          <w:rFonts w:cs="Arial"/>
          <w:sz w:val="20"/>
          <w:szCs w:val="20"/>
        </w:rPr>
        <w:t xml:space="preserve"> </w:t>
      </w:r>
    </w:p>
    <w:p w:rsidR="009E2DC6" w:rsidRPr="00B55F6C" w:rsidRDefault="009E2DC6" w:rsidP="00B55F6C">
      <w:pPr>
        <w:rPr>
          <w:rFonts w:cs="Arial"/>
          <w:sz w:val="20"/>
          <w:szCs w:val="20"/>
        </w:rPr>
      </w:pPr>
      <w:r w:rsidRPr="00B55F6C">
        <w:rPr>
          <w:rFonts w:cs="Arial"/>
          <w:b/>
          <w:bCs/>
          <w:i/>
          <w:sz w:val="20"/>
          <w:szCs w:val="20"/>
        </w:rPr>
        <w:t>ARDEX 2013</w:t>
      </w:r>
      <w:r w:rsidRPr="00B55F6C">
        <w:rPr>
          <w:rFonts w:cs="Arial"/>
          <w:b/>
          <w:bCs/>
          <w:sz w:val="20"/>
          <w:szCs w:val="20"/>
        </w:rPr>
        <w:t xml:space="preserve"> in  Vietnam</w:t>
      </w:r>
      <w:r w:rsidRPr="00B55F6C">
        <w:rPr>
          <w:rFonts w:cs="Arial"/>
          <w:sz w:val="20"/>
          <w:szCs w:val="20"/>
        </w:rPr>
        <w:t xml:space="preserve"> – participation of Viet Nam RC alongside Vietnamese government</w:t>
      </w:r>
    </w:p>
    <w:p w:rsidR="009E2DC6" w:rsidRPr="00B55F6C" w:rsidRDefault="009E2DC6" w:rsidP="00741E78">
      <w:pPr>
        <w:rPr>
          <w:rFonts w:cs="Arial"/>
          <w:sz w:val="20"/>
          <w:szCs w:val="20"/>
        </w:rPr>
      </w:pPr>
      <w:r w:rsidRPr="00B55F6C">
        <w:rPr>
          <w:rFonts w:cs="Arial"/>
          <w:b/>
          <w:bCs/>
          <w:i/>
          <w:sz w:val="20"/>
          <w:szCs w:val="20"/>
        </w:rPr>
        <w:t>MMDIReX 2014</w:t>
      </w:r>
      <w:r w:rsidRPr="00B55F6C">
        <w:rPr>
          <w:rFonts w:cs="Arial"/>
          <w:b/>
          <w:bCs/>
          <w:sz w:val="20"/>
          <w:szCs w:val="20"/>
        </w:rPr>
        <w:t xml:space="preserve"> Indonesia</w:t>
      </w:r>
      <w:r w:rsidRPr="00B55F6C">
        <w:rPr>
          <w:rFonts w:cs="Arial"/>
          <w:sz w:val="20"/>
          <w:szCs w:val="20"/>
        </w:rPr>
        <w:t xml:space="preserve"> – Indonesian RC </w:t>
      </w:r>
      <w:r w:rsidR="00524773">
        <w:rPr>
          <w:rFonts w:cs="Arial"/>
          <w:sz w:val="20"/>
          <w:szCs w:val="20"/>
        </w:rPr>
        <w:t xml:space="preserve">(PMI) worked closely with </w:t>
      </w:r>
      <w:r w:rsidRPr="00B55F6C">
        <w:rPr>
          <w:rFonts w:cs="Arial"/>
          <w:sz w:val="20"/>
          <w:szCs w:val="20"/>
        </w:rPr>
        <w:t>Indonesian Government</w:t>
      </w:r>
      <w:r w:rsidR="00524773">
        <w:rPr>
          <w:rFonts w:cs="Arial"/>
          <w:sz w:val="20"/>
          <w:szCs w:val="20"/>
        </w:rPr>
        <w:t xml:space="preserve"> (BNPB)</w:t>
      </w:r>
      <w:r w:rsidRPr="00B55F6C">
        <w:rPr>
          <w:rFonts w:cs="Arial"/>
          <w:sz w:val="20"/>
          <w:szCs w:val="20"/>
        </w:rPr>
        <w:t xml:space="preserve"> ensuring PMI participation in all aspects of the exercise.</w:t>
      </w:r>
      <w:r w:rsidR="00741E78">
        <w:rPr>
          <w:rFonts w:cs="Arial"/>
          <w:sz w:val="20"/>
          <w:szCs w:val="20"/>
        </w:rPr>
        <w:t xml:space="preserve"> </w:t>
      </w:r>
    </w:p>
    <w:p w:rsidR="009E2DC6" w:rsidRPr="00B55F6C" w:rsidRDefault="009E2DC6" w:rsidP="00B55F6C">
      <w:pPr>
        <w:rPr>
          <w:rFonts w:cs="Arial"/>
          <w:sz w:val="20"/>
          <w:szCs w:val="20"/>
        </w:rPr>
      </w:pPr>
      <w:r w:rsidRPr="00B55F6C">
        <w:rPr>
          <w:rFonts w:cs="Arial"/>
          <w:b/>
          <w:bCs/>
          <w:i/>
          <w:sz w:val="20"/>
          <w:szCs w:val="20"/>
        </w:rPr>
        <w:t>AHeX 14 Thailand</w:t>
      </w:r>
      <w:r w:rsidRPr="00B55F6C">
        <w:rPr>
          <w:rFonts w:cs="Arial"/>
          <w:sz w:val="20"/>
          <w:szCs w:val="20"/>
        </w:rPr>
        <w:t xml:space="preserve"> – participation of Thai RC and IFRC. </w:t>
      </w:r>
    </w:p>
    <w:p w:rsidR="009E2DC6" w:rsidRPr="00B55F6C" w:rsidRDefault="009E2DC6" w:rsidP="00B55F6C">
      <w:pPr>
        <w:autoSpaceDE w:val="0"/>
        <w:autoSpaceDN w:val="0"/>
        <w:adjustRightInd w:val="0"/>
        <w:rPr>
          <w:rFonts w:cs="Arial"/>
          <w:sz w:val="20"/>
          <w:szCs w:val="20"/>
        </w:rPr>
      </w:pPr>
      <w:r w:rsidRPr="00741E78">
        <w:rPr>
          <w:rFonts w:cs="Arial"/>
          <w:b/>
          <w:bCs/>
          <w:i/>
          <w:iCs/>
          <w:sz w:val="20"/>
          <w:szCs w:val="20"/>
        </w:rPr>
        <w:t>DREE/LMI</w:t>
      </w:r>
      <w:r w:rsidRPr="00741E78">
        <w:rPr>
          <w:rFonts w:cs="Arial"/>
          <w:i/>
          <w:iCs/>
          <w:sz w:val="20"/>
          <w:szCs w:val="20"/>
        </w:rPr>
        <w:t xml:space="preserve"> </w:t>
      </w:r>
      <w:r w:rsidRPr="00B55F6C">
        <w:rPr>
          <w:rFonts w:cs="Arial"/>
          <w:sz w:val="20"/>
          <w:szCs w:val="20"/>
        </w:rPr>
        <w:t xml:space="preserve">- A technical presentation was also delivered on Community Safety and Resilience (CSR) and IDRL/DL at the Disaster Response Exercise and Exchange (DREE) under the Lower Mekong Initiative (LMI), which was held in Bangkok in July 2014. </w:t>
      </w:r>
    </w:p>
    <w:p w:rsidR="009E2DC6" w:rsidRPr="00B55F6C" w:rsidRDefault="00B55F6C" w:rsidP="00B55F6C">
      <w:pPr>
        <w:autoSpaceDE w:val="0"/>
        <w:autoSpaceDN w:val="0"/>
        <w:adjustRightInd w:val="0"/>
        <w:rPr>
          <w:rFonts w:cs="Arial"/>
          <w:sz w:val="20"/>
          <w:szCs w:val="20"/>
        </w:rPr>
      </w:pPr>
      <w:r>
        <w:rPr>
          <w:rFonts w:cs="Arial"/>
          <w:b/>
          <w:bCs/>
          <w:i/>
          <w:iCs/>
          <w:sz w:val="20"/>
          <w:szCs w:val="20"/>
        </w:rPr>
        <w:t xml:space="preserve">ASEAN Disaster Preparedness and Response Simulation Exercise: </w:t>
      </w:r>
      <w:r w:rsidRPr="00B55F6C">
        <w:rPr>
          <w:rFonts w:cs="Arial"/>
          <w:sz w:val="20"/>
          <w:szCs w:val="20"/>
        </w:rPr>
        <w:t xml:space="preserve">The </w:t>
      </w:r>
      <w:r w:rsidR="009E2DC6" w:rsidRPr="00B55F6C">
        <w:rPr>
          <w:rFonts w:cs="Arial"/>
          <w:sz w:val="20"/>
          <w:szCs w:val="20"/>
        </w:rPr>
        <w:t>Myanmar Red Cross Society and IFRC were present in the simulation in September 2014, which included a strong focus on internatio</w:t>
      </w:r>
      <w:r>
        <w:rPr>
          <w:rFonts w:cs="Arial"/>
          <w:sz w:val="20"/>
          <w:szCs w:val="20"/>
        </w:rPr>
        <w:t>nal disaster response law</w:t>
      </w:r>
      <w:r w:rsidR="009E2DC6" w:rsidRPr="00B55F6C">
        <w:rPr>
          <w:rFonts w:cs="Arial"/>
          <w:sz w:val="20"/>
          <w:szCs w:val="20"/>
        </w:rPr>
        <w:t xml:space="preserve"> issues. </w:t>
      </w:r>
    </w:p>
    <w:p w:rsidR="009E2DC6" w:rsidRPr="00741E78" w:rsidRDefault="00B55F6C" w:rsidP="00741E78">
      <w:pPr>
        <w:pStyle w:val="ListParagraph"/>
        <w:ind w:left="360"/>
        <w:jc w:val="left"/>
        <w:rPr>
          <w:rFonts w:ascii="Arial" w:hAnsi="Arial" w:cs="Arial"/>
          <w:sz w:val="20"/>
          <w:szCs w:val="20"/>
        </w:rPr>
      </w:pPr>
      <w:r w:rsidRPr="00B55F6C">
        <w:rPr>
          <w:rFonts w:ascii="Arial" w:hAnsi="Arial" w:cs="Arial"/>
          <w:sz w:val="20"/>
          <w:szCs w:val="20"/>
        </w:rPr>
        <w:t xml:space="preserve"> </w:t>
      </w:r>
    </w:p>
    <w:p w:rsidR="009E2DC6" w:rsidRPr="002E7957" w:rsidRDefault="009E2DC6" w:rsidP="00741E78">
      <w:pPr>
        <w:pStyle w:val="Heading2"/>
      </w:pPr>
      <w:r w:rsidRPr="002E7957">
        <w:t xml:space="preserve">Regional School Safety initiative in SEA </w:t>
      </w:r>
    </w:p>
    <w:p w:rsidR="00493749" w:rsidRDefault="009E2DC6" w:rsidP="0053764A">
      <w:pPr>
        <w:spacing w:before="0"/>
        <w:rPr>
          <w:rFonts w:cs="Arial"/>
          <w:szCs w:val="22"/>
        </w:rPr>
      </w:pPr>
      <w:r w:rsidRPr="002E7957">
        <w:rPr>
          <w:rFonts w:cs="Arial"/>
          <w:szCs w:val="22"/>
        </w:rPr>
        <w:t xml:space="preserve">As </w:t>
      </w:r>
      <w:r w:rsidR="005D4813">
        <w:rPr>
          <w:rFonts w:cs="Arial"/>
          <w:szCs w:val="22"/>
        </w:rPr>
        <w:t>a</w:t>
      </w:r>
      <w:r w:rsidRPr="002E7957">
        <w:rPr>
          <w:rFonts w:cs="Arial"/>
          <w:szCs w:val="22"/>
        </w:rPr>
        <w:t xml:space="preserve"> founding member of the Asian C</w:t>
      </w:r>
      <w:r w:rsidR="00741E78">
        <w:rPr>
          <w:rFonts w:cs="Arial"/>
          <w:szCs w:val="22"/>
        </w:rPr>
        <w:t>oalition on School Safety</w:t>
      </w:r>
      <w:r w:rsidR="00CA42A5">
        <w:rPr>
          <w:rStyle w:val="FootnoteReference"/>
          <w:rFonts w:cs="Arial"/>
          <w:szCs w:val="22"/>
        </w:rPr>
        <w:footnoteReference w:id="2"/>
      </w:r>
      <w:r w:rsidRPr="002E7957">
        <w:rPr>
          <w:rFonts w:cs="Arial"/>
          <w:szCs w:val="22"/>
        </w:rPr>
        <w:t xml:space="preserve">, </w:t>
      </w:r>
      <w:r w:rsidR="00741E78">
        <w:rPr>
          <w:rFonts w:cs="Arial"/>
          <w:szCs w:val="22"/>
        </w:rPr>
        <w:t xml:space="preserve">the </w:t>
      </w:r>
      <w:r w:rsidRPr="002E7957">
        <w:rPr>
          <w:rFonts w:cs="Arial"/>
          <w:szCs w:val="22"/>
        </w:rPr>
        <w:t>IFRC is currently supporting an initiative</w:t>
      </w:r>
      <w:r w:rsidR="00CA42A5">
        <w:rPr>
          <w:rFonts w:cs="Arial"/>
          <w:szCs w:val="22"/>
        </w:rPr>
        <w:t xml:space="preserve"> to d</w:t>
      </w:r>
      <w:r w:rsidRPr="002E7957">
        <w:rPr>
          <w:rFonts w:cs="Arial"/>
          <w:szCs w:val="22"/>
        </w:rPr>
        <w:t>evelop a Comprehensive School Safety Model</w:t>
      </w:r>
      <w:r w:rsidR="007C7394">
        <w:rPr>
          <w:rFonts w:cs="Arial"/>
          <w:szCs w:val="22"/>
        </w:rPr>
        <w:t>. The model will</w:t>
      </w:r>
      <w:r w:rsidRPr="002E7957">
        <w:rPr>
          <w:rFonts w:cs="Arial"/>
          <w:szCs w:val="22"/>
        </w:rPr>
        <w:t xml:space="preserve"> harmonize existing tools</w:t>
      </w:r>
      <w:r w:rsidR="007C7394">
        <w:rPr>
          <w:rFonts w:cs="Arial"/>
          <w:szCs w:val="22"/>
        </w:rPr>
        <w:t>,</w:t>
      </w:r>
      <w:r w:rsidRPr="002E7957">
        <w:rPr>
          <w:rFonts w:cs="Arial"/>
          <w:szCs w:val="22"/>
        </w:rPr>
        <w:t xml:space="preserve"> focusing on Pillar 2 (</w:t>
      </w:r>
      <w:r w:rsidRPr="002E7957">
        <w:rPr>
          <w:rFonts w:cs="Arial"/>
          <w:i/>
          <w:szCs w:val="22"/>
        </w:rPr>
        <w:t>School Disaster Management</w:t>
      </w:r>
      <w:r w:rsidRPr="002E7957">
        <w:rPr>
          <w:rFonts w:cs="Arial"/>
          <w:szCs w:val="22"/>
        </w:rPr>
        <w:t xml:space="preserve">) &amp; Pillar 3 </w:t>
      </w:r>
      <w:r w:rsidRPr="002E7957">
        <w:rPr>
          <w:rFonts w:cs="Arial"/>
          <w:i/>
          <w:szCs w:val="22"/>
        </w:rPr>
        <w:t>(Risk Reduction and resilience Education)</w:t>
      </w:r>
      <w:r w:rsidRPr="002E7957">
        <w:rPr>
          <w:rFonts w:cs="Arial"/>
          <w:szCs w:val="22"/>
        </w:rPr>
        <w:t xml:space="preserve"> from the Comprehensive Framework on School Safety.</w:t>
      </w:r>
      <w:r w:rsidR="005D4813">
        <w:rPr>
          <w:rFonts w:cs="Arial"/>
          <w:szCs w:val="22"/>
        </w:rPr>
        <w:t xml:space="preserve"> The</w:t>
      </w:r>
      <w:r w:rsidRPr="002E7957">
        <w:rPr>
          <w:rFonts w:cs="Arial"/>
          <w:szCs w:val="22"/>
        </w:rPr>
        <w:t xml:space="preserve"> IFRC would like to contribute to an aligned approach to school safety, also defining the </w:t>
      </w:r>
      <w:r w:rsidR="005D4813">
        <w:rPr>
          <w:rFonts w:cs="Arial"/>
          <w:szCs w:val="22"/>
        </w:rPr>
        <w:t>role</w:t>
      </w:r>
      <w:r w:rsidRPr="002E7957">
        <w:rPr>
          <w:rFonts w:cs="Arial"/>
          <w:szCs w:val="22"/>
        </w:rPr>
        <w:t xml:space="preserve"> of National </w:t>
      </w:r>
      <w:r w:rsidR="005D4813">
        <w:rPr>
          <w:rFonts w:cs="Arial"/>
          <w:szCs w:val="22"/>
        </w:rPr>
        <w:t xml:space="preserve">Societies’ </w:t>
      </w:r>
      <w:r w:rsidRPr="002E7957">
        <w:rPr>
          <w:rFonts w:cs="Arial"/>
          <w:szCs w:val="22"/>
        </w:rPr>
        <w:t>youth</w:t>
      </w:r>
      <w:r w:rsidR="005D4813">
        <w:rPr>
          <w:rFonts w:cs="Arial"/>
          <w:szCs w:val="22"/>
        </w:rPr>
        <w:t xml:space="preserve"> and </w:t>
      </w:r>
      <w:r w:rsidRPr="002E7957">
        <w:rPr>
          <w:rFonts w:cs="Arial"/>
          <w:szCs w:val="22"/>
        </w:rPr>
        <w:t xml:space="preserve">volunteers. </w:t>
      </w:r>
      <w:r w:rsidR="005D4813">
        <w:rPr>
          <w:rFonts w:cs="Arial"/>
          <w:szCs w:val="22"/>
        </w:rPr>
        <w:t>The National Societies -</w:t>
      </w:r>
      <w:r w:rsidRPr="002E7957">
        <w:rPr>
          <w:rFonts w:cs="Arial"/>
          <w:szCs w:val="22"/>
        </w:rPr>
        <w:t xml:space="preserve"> as auxiliary to their respective governments - have great potential to play </w:t>
      </w:r>
      <w:r w:rsidR="005D4813">
        <w:rPr>
          <w:rFonts w:cs="Arial"/>
          <w:szCs w:val="22"/>
        </w:rPr>
        <w:t xml:space="preserve">a </w:t>
      </w:r>
      <w:r w:rsidRPr="002E7957">
        <w:rPr>
          <w:rFonts w:cs="Arial"/>
          <w:szCs w:val="22"/>
        </w:rPr>
        <w:t xml:space="preserve">key role </w:t>
      </w:r>
      <w:r w:rsidR="005D4813">
        <w:rPr>
          <w:rFonts w:cs="Arial"/>
          <w:szCs w:val="22"/>
        </w:rPr>
        <w:t xml:space="preserve">in schools. </w:t>
      </w:r>
    </w:p>
    <w:p w:rsidR="00625D9E" w:rsidRPr="002E7957" w:rsidRDefault="00625D9E" w:rsidP="00625D9E">
      <w:pPr>
        <w:spacing w:before="0"/>
        <w:rPr>
          <w:rFonts w:cs="Arial"/>
          <w:szCs w:val="22"/>
        </w:rPr>
      </w:pPr>
    </w:p>
    <w:p w:rsidR="009E2DC6" w:rsidRPr="002E7957" w:rsidRDefault="009E2DC6" w:rsidP="00625D9E">
      <w:pPr>
        <w:pStyle w:val="Heading2"/>
      </w:pPr>
      <w:bookmarkStart w:id="0" w:name="_GoBack"/>
      <w:r w:rsidRPr="002E7957">
        <w:t xml:space="preserve">ASEAN Day on Disaster Management (ADDM) </w:t>
      </w:r>
    </w:p>
    <w:p w:rsidR="009E2DC6" w:rsidRPr="002E7957" w:rsidRDefault="00625D9E" w:rsidP="006F2D05">
      <w:pPr>
        <w:spacing w:before="0"/>
        <w:rPr>
          <w:rFonts w:cs="Arial"/>
          <w:szCs w:val="22"/>
        </w:rPr>
      </w:pPr>
      <w:r>
        <w:rPr>
          <w:rFonts w:cs="Arial"/>
          <w:szCs w:val="22"/>
        </w:rPr>
        <w:t xml:space="preserve">As part of regional and national level advocacy between ASEAN, national authorities and the Red Cross Red Crescent, the </w:t>
      </w:r>
      <w:r w:rsidR="009E2DC6" w:rsidRPr="002E7957">
        <w:rPr>
          <w:rFonts w:cs="Arial"/>
          <w:szCs w:val="22"/>
        </w:rPr>
        <w:t xml:space="preserve">IFRC </w:t>
      </w:r>
      <w:r>
        <w:rPr>
          <w:rFonts w:cs="Arial"/>
          <w:szCs w:val="22"/>
        </w:rPr>
        <w:t>and National Societies are conducting jo</w:t>
      </w:r>
      <w:r w:rsidR="009E2DC6" w:rsidRPr="002E7957">
        <w:rPr>
          <w:rFonts w:cs="Arial"/>
          <w:szCs w:val="22"/>
        </w:rPr>
        <w:t xml:space="preserve">int celebrations </w:t>
      </w:r>
      <w:r>
        <w:rPr>
          <w:rFonts w:cs="Arial"/>
          <w:szCs w:val="22"/>
        </w:rPr>
        <w:t>for ASEAN Day for Disaster Management and the International Day for Disaster Risk Reduction</w:t>
      </w:r>
      <w:r w:rsidR="006F2D05">
        <w:rPr>
          <w:rFonts w:cs="Arial"/>
          <w:szCs w:val="22"/>
        </w:rPr>
        <w:t xml:space="preserve">. </w:t>
      </w:r>
    </w:p>
    <w:bookmarkEnd w:id="0"/>
    <w:p w:rsidR="009E2DC6" w:rsidRPr="002E7957" w:rsidRDefault="009E2DC6" w:rsidP="002E7957">
      <w:pPr>
        <w:spacing w:before="0"/>
        <w:rPr>
          <w:rFonts w:cs="Arial"/>
          <w:szCs w:val="22"/>
        </w:rPr>
      </w:pPr>
    </w:p>
    <w:p w:rsidR="009E2DC6" w:rsidRPr="002E7957" w:rsidRDefault="00646F34" w:rsidP="00646F34">
      <w:pPr>
        <w:pStyle w:val="Heading2"/>
      </w:pPr>
      <w:r>
        <w:t>Disaster Law</w:t>
      </w:r>
    </w:p>
    <w:p w:rsidR="009E2DC6" w:rsidRPr="002E7957" w:rsidRDefault="009E2DC6" w:rsidP="00D35472">
      <w:pPr>
        <w:spacing w:before="0"/>
        <w:rPr>
          <w:rFonts w:cs="Arial"/>
          <w:szCs w:val="22"/>
        </w:rPr>
      </w:pPr>
      <w:r w:rsidRPr="002E7957">
        <w:rPr>
          <w:rFonts w:cs="Arial"/>
          <w:szCs w:val="22"/>
        </w:rPr>
        <w:t>National Red Cross and Red Crescent Societies have been working together with</w:t>
      </w:r>
      <w:r w:rsidR="00095003">
        <w:rPr>
          <w:rFonts w:cs="Arial"/>
          <w:szCs w:val="22"/>
        </w:rPr>
        <w:t xml:space="preserve"> the</w:t>
      </w:r>
      <w:r w:rsidRPr="002E7957">
        <w:rPr>
          <w:rFonts w:cs="Arial"/>
          <w:szCs w:val="22"/>
        </w:rPr>
        <w:t xml:space="preserve"> IFRC to support their governments</w:t>
      </w:r>
      <w:r w:rsidR="00095003">
        <w:rPr>
          <w:rFonts w:cs="Arial"/>
          <w:szCs w:val="22"/>
        </w:rPr>
        <w:t xml:space="preserve"> in developing</w:t>
      </w:r>
      <w:r w:rsidRPr="002E7957">
        <w:rPr>
          <w:rFonts w:cs="Arial"/>
          <w:szCs w:val="22"/>
        </w:rPr>
        <w:t xml:space="preserve"> and/or strengthen</w:t>
      </w:r>
      <w:r w:rsidR="00095003">
        <w:rPr>
          <w:rFonts w:cs="Arial"/>
          <w:szCs w:val="22"/>
        </w:rPr>
        <w:t>ing</w:t>
      </w:r>
      <w:r w:rsidRPr="002E7957">
        <w:rPr>
          <w:rFonts w:cs="Arial"/>
          <w:szCs w:val="22"/>
        </w:rPr>
        <w:t xml:space="preserve"> national legal frameworks for disaster management and response across the region.  Developing laws that can facilitate </w:t>
      </w:r>
      <w:r w:rsidRPr="002E7957">
        <w:rPr>
          <w:rFonts w:cs="Arial"/>
          <w:szCs w:val="22"/>
        </w:rPr>
        <w:lastRenderedPageBreak/>
        <w:t>incoming international assistance in an emergency (IDRL)</w:t>
      </w:r>
      <w:r w:rsidR="00D35472">
        <w:rPr>
          <w:rFonts w:cs="Arial"/>
          <w:szCs w:val="22"/>
        </w:rPr>
        <w:t>,</w:t>
      </w:r>
      <w:r w:rsidRPr="002E7957">
        <w:rPr>
          <w:rFonts w:cs="Arial"/>
          <w:szCs w:val="22"/>
        </w:rPr>
        <w:t xml:space="preserve"> and which address key aspects </w:t>
      </w:r>
      <w:r w:rsidR="00D35472">
        <w:rPr>
          <w:rFonts w:cs="Arial"/>
          <w:szCs w:val="22"/>
        </w:rPr>
        <w:t>of disaster risk reduction,</w:t>
      </w:r>
      <w:r w:rsidRPr="002E7957">
        <w:rPr>
          <w:rFonts w:cs="Arial"/>
          <w:szCs w:val="22"/>
        </w:rPr>
        <w:t xml:space="preserve"> are an important part of implementing the AADMER.  National Societies are contributing to this process though the conduct of research, provision of technical assistance, and undertaking advocacy initiatives in Lao PDR, the Philippines, Indonesia, Vietnam, Myanmar and Cambodia. They are also working alongside governments and other humanitarian partners (such as the UN) to test and enhance the implementation of existing laws and procedures, for example through ASEAN/government-led simulation exercises during 2013/14 in Indonesia, Thailand and Myanmar. </w:t>
      </w:r>
    </w:p>
    <w:p w:rsidR="009E2DC6" w:rsidRPr="002E7957" w:rsidRDefault="009E2DC6" w:rsidP="002E7957">
      <w:pPr>
        <w:spacing w:before="0"/>
        <w:rPr>
          <w:rFonts w:cs="Arial"/>
          <w:szCs w:val="22"/>
        </w:rPr>
      </w:pPr>
    </w:p>
    <w:p w:rsidR="009E2DC6" w:rsidRPr="002E7957" w:rsidRDefault="009E2DC6" w:rsidP="002A4840">
      <w:pPr>
        <w:pStyle w:val="Heading2"/>
      </w:pPr>
      <w:r w:rsidRPr="002E7957">
        <w:t>Regional DRR Conferences leading to the WCDRR in 2015</w:t>
      </w:r>
    </w:p>
    <w:p w:rsidR="009E2DC6" w:rsidRPr="002E7957" w:rsidRDefault="009E2DC6" w:rsidP="002E7957">
      <w:pPr>
        <w:spacing w:before="0"/>
        <w:rPr>
          <w:rFonts w:cs="Arial"/>
          <w:szCs w:val="22"/>
        </w:rPr>
      </w:pPr>
      <w:r w:rsidRPr="002E7957">
        <w:rPr>
          <w:rFonts w:cs="Arial"/>
          <w:szCs w:val="22"/>
        </w:rPr>
        <w:t xml:space="preserve">RCRC, as one of the key stakeholder in Disaster Risk Reduction is being very actively engaged in various forums, platforms, and conferences in the process of consultation for the HFA2 not only regionally but worldwide – providing significant contribution by sharing its experiences, key lessons learnt and recommendations. For the 6th Asian Ministerial Conference, the IFRC has been playing a key role as the coordinator of various events including the development of key background documents on Building Community Resilience and together with ADRRN, the preparation of the Technical Session on Community Resilience. IFRC supported not only participation of National Red Cross Societies from Southeast Asia but also some support was reserved for participation of NDMA representatives. As for the World Conference on DRR, ongoing discussions are happening to ensure adequate representatives from RCRC alongside governments. </w:t>
      </w:r>
    </w:p>
    <w:p w:rsidR="009E2DC6" w:rsidRPr="002E7957" w:rsidRDefault="009E2DC6" w:rsidP="002A4840">
      <w:pPr>
        <w:pStyle w:val="Heading2"/>
      </w:pPr>
    </w:p>
    <w:p w:rsidR="009E2DC6" w:rsidRPr="002E7957" w:rsidRDefault="00582857" w:rsidP="00582857">
      <w:pPr>
        <w:pStyle w:val="Heading2"/>
        <w:rPr>
          <w:lang w:val="en-CA"/>
        </w:rPr>
      </w:pPr>
      <w:r>
        <w:rPr>
          <w:lang w:val="en-CA"/>
        </w:rPr>
        <w:t>Joint capacity b</w:t>
      </w:r>
      <w:r w:rsidR="009E2DC6" w:rsidRPr="002E7957">
        <w:rPr>
          <w:lang w:val="en-CA"/>
        </w:rPr>
        <w:t>uilding</w:t>
      </w:r>
    </w:p>
    <w:p w:rsidR="009E2DC6" w:rsidRPr="002E7957" w:rsidRDefault="00214CAA" w:rsidP="0064644B">
      <w:pPr>
        <w:spacing w:before="0"/>
        <w:rPr>
          <w:rFonts w:cs="Arial"/>
          <w:szCs w:val="22"/>
          <w:lang w:val="en-CA"/>
        </w:rPr>
      </w:pPr>
      <w:r>
        <w:rPr>
          <w:rFonts w:cs="Arial"/>
          <w:szCs w:val="22"/>
          <w:lang w:val="en-CA"/>
        </w:rPr>
        <w:t>The IFRC</w:t>
      </w:r>
      <w:r w:rsidR="0064644B">
        <w:rPr>
          <w:rFonts w:cs="Arial"/>
          <w:szCs w:val="22"/>
          <w:lang w:val="en-CA"/>
        </w:rPr>
        <w:t xml:space="preserve"> is promoting stronger partnerships between</w:t>
      </w:r>
      <w:r>
        <w:rPr>
          <w:rFonts w:cs="Arial"/>
          <w:szCs w:val="22"/>
          <w:lang w:val="en-CA"/>
        </w:rPr>
        <w:t xml:space="preserve"> National Societies</w:t>
      </w:r>
      <w:r w:rsidR="0064644B">
        <w:rPr>
          <w:rFonts w:cs="Arial"/>
          <w:szCs w:val="22"/>
          <w:lang w:val="en-CA"/>
        </w:rPr>
        <w:t xml:space="preserve"> their host governments, through joint capacity-building activities focusing on reducing risks in communities. Thematic areas include: e</w:t>
      </w:r>
      <w:r w:rsidR="009E2DC6" w:rsidRPr="002E7957">
        <w:rPr>
          <w:rFonts w:cs="Arial"/>
          <w:szCs w:val="22"/>
          <w:lang w:val="en-CA"/>
        </w:rPr>
        <w:t xml:space="preserve">arly </w:t>
      </w:r>
      <w:r w:rsidR="0064644B">
        <w:rPr>
          <w:rFonts w:cs="Arial"/>
          <w:szCs w:val="22"/>
          <w:lang w:val="en-CA"/>
        </w:rPr>
        <w:t>w</w:t>
      </w:r>
      <w:r w:rsidR="009E2DC6" w:rsidRPr="002E7957">
        <w:rPr>
          <w:rFonts w:cs="Arial"/>
          <w:szCs w:val="22"/>
          <w:lang w:val="en-CA"/>
        </w:rPr>
        <w:t xml:space="preserve">arning, </w:t>
      </w:r>
      <w:r w:rsidR="0064644B">
        <w:rPr>
          <w:rFonts w:cs="Arial"/>
          <w:szCs w:val="22"/>
          <w:lang w:val="en-CA"/>
        </w:rPr>
        <w:t>u</w:t>
      </w:r>
      <w:r w:rsidR="009E2DC6" w:rsidRPr="002E7957">
        <w:rPr>
          <w:rFonts w:cs="Arial"/>
          <w:szCs w:val="22"/>
          <w:lang w:val="en-CA"/>
        </w:rPr>
        <w:t xml:space="preserve">rban </w:t>
      </w:r>
      <w:r w:rsidR="0064644B">
        <w:rPr>
          <w:rFonts w:cs="Arial"/>
          <w:szCs w:val="22"/>
          <w:lang w:val="en-CA"/>
        </w:rPr>
        <w:t>r</w:t>
      </w:r>
      <w:r w:rsidR="009E2DC6" w:rsidRPr="002E7957">
        <w:rPr>
          <w:rFonts w:cs="Arial"/>
          <w:szCs w:val="22"/>
          <w:lang w:val="en-CA"/>
        </w:rPr>
        <w:t xml:space="preserve">esilience, </w:t>
      </w:r>
      <w:r w:rsidR="0064644B">
        <w:rPr>
          <w:rFonts w:cs="Arial"/>
          <w:szCs w:val="22"/>
          <w:lang w:val="en-CA"/>
        </w:rPr>
        <w:t>national d</w:t>
      </w:r>
      <w:r w:rsidR="009E2DC6" w:rsidRPr="002E7957">
        <w:rPr>
          <w:rFonts w:cs="Arial"/>
          <w:szCs w:val="22"/>
          <w:lang w:val="en-CA"/>
        </w:rPr>
        <w:t>isaster</w:t>
      </w:r>
      <w:r w:rsidR="0064644B">
        <w:rPr>
          <w:rFonts w:cs="Arial"/>
          <w:szCs w:val="22"/>
          <w:lang w:val="en-CA"/>
        </w:rPr>
        <w:t xml:space="preserve"> response t</w:t>
      </w:r>
      <w:r w:rsidR="009E2DC6" w:rsidRPr="002E7957">
        <w:rPr>
          <w:rFonts w:cs="Arial"/>
          <w:szCs w:val="22"/>
          <w:lang w:val="en-CA"/>
        </w:rPr>
        <w:t xml:space="preserve">eams, </w:t>
      </w:r>
      <w:r w:rsidR="0064644B">
        <w:rPr>
          <w:rFonts w:cs="Arial"/>
          <w:szCs w:val="22"/>
          <w:lang w:val="en-CA"/>
        </w:rPr>
        <w:t>pandemic preparedness, c</w:t>
      </w:r>
      <w:r w:rsidR="009E2DC6" w:rsidRPr="002E7957">
        <w:rPr>
          <w:rFonts w:cs="Arial"/>
          <w:szCs w:val="22"/>
          <w:lang w:val="en-CA"/>
        </w:rPr>
        <w:t xml:space="preserve">limate </w:t>
      </w:r>
      <w:r w:rsidR="0064644B">
        <w:rPr>
          <w:rFonts w:cs="Arial"/>
          <w:szCs w:val="22"/>
          <w:lang w:val="en-CA"/>
        </w:rPr>
        <w:t>change a</w:t>
      </w:r>
      <w:r w:rsidR="009E2DC6" w:rsidRPr="002E7957">
        <w:rPr>
          <w:rFonts w:cs="Arial"/>
          <w:szCs w:val="22"/>
          <w:lang w:val="en-CA"/>
        </w:rPr>
        <w:t>daptation,</w:t>
      </w:r>
      <w:r w:rsidR="003136A2">
        <w:rPr>
          <w:rFonts w:cs="Arial"/>
          <w:szCs w:val="22"/>
          <w:lang w:val="en-CA"/>
        </w:rPr>
        <w:t xml:space="preserve"> gender,</w:t>
      </w:r>
      <w:r w:rsidR="009E2DC6" w:rsidRPr="002E7957">
        <w:rPr>
          <w:rFonts w:cs="Arial"/>
          <w:szCs w:val="22"/>
          <w:lang w:val="en-CA"/>
        </w:rPr>
        <w:t xml:space="preserve"> </w:t>
      </w:r>
      <w:r w:rsidR="0064644B">
        <w:rPr>
          <w:rFonts w:cs="Arial"/>
          <w:szCs w:val="22"/>
          <w:lang w:val="en-CA"/>
        </w:rPr>
        <w:t>d</w:t>
      </w:r>
      <w:r w:rsidR="009E2DC6" w:rsidRPr="002E7957">
        <w:rPr>
          <w:rFonts w:cs="Arial"/>
          <w:szCs w:val="22"/>
          <w:lang w:val="en-CA"/>
        </w:rPr>
        <w:t xml:space="preserve">isaster </w:t>
      </w:r>
      <w:r w:rsidR="0064644B">
        <w:rPr>
          <w:rFonts w:cs="Arial"/>
          <w:szCs w:val="22"/>
          <w:lang w:val="en-CA"/>
        </w:rPr>
        <w:t>l</w:t>
      </w:r>
      <w:r w:rsidR="009E2DC6" w:rsidRPr="002E7957">
        <w:rPr>
          <w:rFonts w:cs="Arial"/>
          <w:szCs w:val="22"/>
          <w:lang w:val="en-CA"/>
        </w:rPr>
        <w:t xml:space="preserve">aw etc. </w:t>
      </w:r>
    </w:p>
    <w:p w:rsidR="009E2DC6" w:rsidRPr="002E7957" w:rsidRDefault="009E2DC6" w:rsidP="002E7957">
      <w:pPr>
        <w:rPr>
          <w:rFonts w:cs="Arial"/>
          <w:b/>
          <w:color w:val="FF0000"/>
          <w:szCs w:val="22"/>
        </w:rPr>
      </w:pPr>
    </w:p>
    <w:p w:rsidR="009E2DC6" w:rsidRPr="002A4840" w:rsidRDefault="009E2DC6" w:rsidP="002A4840">
      <w:pPr>
        <w:rPr>
          <w:rFonts w:cs="Arial"/>
          <w:b/>
          <w:color w:val="FF0000"/>
          <w:szCs w:val="22"/>
        </w:rPr>
      </w:pPr>
      <w:r w:rsidRPr="002E7957">
        <w:rPr>
          <w:rFonts w:cs="Arial"/>
          <w:b/>
          <w:color w:val="FF0000"/>
          <w:szCs w:val="22"/>
        </w:rPr>
        <w:t>Contact information</w:t>
      </w:r>
    </w:p>
    <w:p w:rsidR="009E2DC6" w:rsidRDefault="009E2DC6" w:rsidP="003A11FB">
      <w:pPr>
        <w:spacing w:before="0" w:line="276" w:lineRule="auto"/>
        <w:rPr>
          <w:rFonts w:cs="Arial"/>
          <w:bCs/>
          <w:szCs w:val="22"/>
        </w:rPr>
      </w:pPr>
      <w:r>
        <w:rPr>
          <w:rFonts w:cs="Arial"/>
          <w:b/>
          <w:szCs w:val="22"/>
        </w:rPr>
        <w:t xml:space="preserve">Anne E. Leclerc, </w:t>
      </w:r>
      <w:r w:rsidR="003A11FB" w:rsidRPr="003A11FB">
        <w:rPr>
          <w:rFonts w:cs="Arial"/>
          <w:bCs/>
          <w:szCs w:val="22"/>
        </w:rPr>
        <w:t xml:space="preserve">Head, </w:t>
      </w:r>
      <w:r w:rsidRPr="003A11FB">
        <w:rPr>
          <w:rFonts w:cs="Arial"/>
          <w:bCs/>
          <w:szCs w:val="22"/>
        </w:rPr>
        <w:t>IFRC</w:t>
      </w:r>
      <w:r w:rsidRPr="00694DBD">
        <w:rPr>
          <w:rFonts w:cs="Arial"/>
          <w:bCs/>
          <w:szCs w:val="22"/>
        </w:rPr>
        <w:t xml:space="preserve"> </w:t>
      </w:r>
      <w:r w:rsidR="003A11FB">
        <w:rPr>
          <w:rFonts w:cs="Arial"/>
          <w:bCs/>
          <w:szCs w:val="22"/>
        </w:rPr>
        <w:t>South-East Asia regional</w:t>
      </w:r>
      <w:r>
        <w:rPr>
          <w:rFonts w:cs="Arial"/>
          <w:bCs/>
          <w:szCs w:val="22"/>
        </w:rPr>
        <w:t xml:space="preserve"> </w:t>
      </w:r>
      <w:r w:rsidR="003A11FB">
        <w:rPr>
          <w:rFonts w:cs="Arial"/>
          <w:bCs/>
          <w:szCs w:val="22"/>
        </w:rPr>
        <w:t>delegation</w:t>
      </w:r>
    </w:p>
    <w:p w:rsidR="009E2DC6" w:rsidRDefault="009E2DC6" w:rsidP="009E2DC6">
      <w:pPr>
        <w:spacing w:before="0" w:line="276" w:lineRule="auto"/>
        <w:rPr>
          <w:rFonts w:cs="Arial"/>
          <w:bCs/>
          <w:szCs w:val="22"/>
        </w:rPr>
      </w:pPr>
      <w:hyperlink r:id="rId9" w:history="1">
        <w:r w:rsidRPr="00D3331B">
          <w:rPr>
            <w:rStyle w:val="Hyperlink"/>
            <w:rFonts w:cs="Arial"/>
            <w:bCs/>
            <w:szCs w:val="22"/>
          </w:rPr>
          <w:t>Anne.leclerc@ifrc.org</w:t>
        </w:r>
      </w:hyperlink>
      <w:r>
        <w:rPr>
          <w:rFonts w:cs="Arial"/>
          <w:bCs/>
          <w:szCs w:val="22"/>
        </w:rPr>
        <w:t xml:space="preserve"> </w:t>
      </w:r>
    </w:p>
    <w:p w:rsidR="009E2DC6" w:rsidRDefault="009E2DC6" w:rsidP="009E2DC6">
      <w:pPr>
        <w:spacing w:before="0" w:line="276" w:lineRule="auto"/>
        <w:rPr>
          <w:rFonts w:cs="Arial"/>
          <w:bCs/>
          <w:szCs w:val="22"/>
        </w:rPr>
      </w:pPr>
    </w:p>
    <w:p w:rsidR="009E2DC6" w:rsidRDefault="009E2DC6" w:rsidP="009E2DC6">
      <w:pPr>
        <w:spacing w:before="0" w:line="276" w:lineRule="auto"/>
        <w:rPr>
          <w:rFonts w:cs="Arial"/>
          <w:bCs/>
          <w:szCs w:val="22"/>
        </w:rPr>
      </w:pPr>
    </w:p>
    <w:p w:rsidR="009E2DC6" w:rsidRDefault="009E2DC6" w:rsidP="009E2DC6">
      <w:pPr>
        <w:spacing w:before="0" w:line="276" w:lineRule="auto"/>
        <w:rPr>
          <w:rFonts w:cs="Arial"/>
          <w:bCs/>
          <w:szCs w:val="22"/>
        </w:rPr>
      </w:pPr>
    </w:p>
    <w:p w:rsidR="009E2DC6" w:rsidRPr="00295EA9" w:rsidRDefault="009E2DC6" w:rsidP="009E2DC6">
      <w:pPr>
        <w:rPr>
          <w:rFonts w:ascii="Arial Narrow" w:hAnsi="Arial Narrow" w:cs="Arial"/>
          <w:sz w:val="23"/>
          <w:szCs w:val="23"/>
          <w:lang w:val="en-CA"/>
        </w:rPr>
      </w:pPr>
    </w:p>
    <w:p w:rsidR="00E91D9D" w:rsidRPr="00CB46EE" w:rsidRDefault="0053764A" w:rsidP="00E91D9D">
      <w:pPr>
        <w:rPr>
          <w:lang w:val="fr-CH"/>
        </w:rPr>
      </w:pPr>
    </w:p>
    <w:sectPr w:rsidR="00E91D9D" w:rsidRPr="00CB46EE" w:rsidSect="00E91D9D">
      <w:headerReference w:type="default" r:id="rId10"/>
      <w:footerReference w:type="default" r:id="rId11"/>
      <w:footerReference w:type="first" r:id="rId12"/>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0A" w:rsidRDefault="002F320A">
      <w:r>
        <w:separator/>
      </w:r>
    </w:p>
    <w:p w:rsidR="002F320A" w:rsidRDefault="002F320A"/>
    <w:p w:rsidR="002F320A" w:rsidRDefault="002F320A"/>
  </w:endnote>
  <w:endnote w:type="continuationSeparator" w:id="0">
    <w:p w:rsidR="002F320A" w:rsidRDefault="002F320A">
      <w:r>
        <w:continuationSeparator/>
      </w:r>
    </w:p>
    <w:p w:rsidR="002F320A" w:rsidRDefault="002F320A"/>
    <w:p w:rsidR="002F320A" w:rsidRDefault="002F3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0A" w:rsidRDefault="002F320A">
      <w:r>
        <w:separator/>
      </w:r>
    </w:p>
    <w:p w:rsidR="002F320A" w:rsidRDefault="002F320A"/>
    <w:p w:rsidR="002F320A" w:rsidRDefault="002F320A"/>
  </w:footnote>
  <w:footnote w:type="continuationSeparator" w:id="0">
    <w:p w:rsidR="002F320A" w:rsidRDefault="002F320A">
      <w:r>
        <w:continuationSeparator/>
      </w:r>
    </w:p>
    <w:p w:rsidR="002F320A" w:rsidRDefault="002F320A"/>
    <w:p w:rsidR="002F320A" w:rsidRDefault="002F320A"/>
  </w:footnote>
  <w:footnote w:id="1">
    <w:p w:rsidR="009E2DC6" w:rsidRPr="00AE4066" w:rsidRDefault="009E2DC6" w:rsidP="009E2DC6">
      <w:pPr>
        <w:pStyle w:val="FootnoteText"/>
        <w:rPr>
          <w:sz w:val="16"/>
          <w:szCs w:val="16"/>
        </w:rPr>
      </w:pPr>
      <w:r w:rsidRPr="00AE4066">
        <w:rPr>
          <w:rStyle w:val="FootnoteReference"/>
          <w:sz w:val="16"/>
          <w:szCs w:val="16"/>
        </w:rPr>
        <w:footnoteRef/>
      </w:r>
      <w:r w:rsidRPr="00AE4066">
        <w:rPr>
          <w:sz w:val="16"/>
          <w:szCs w:val="16"/>
        </w:rPr>
        <w:t xml:space="preserve"> </w:t>
      </w:r>
      <w:r w:rsidRPr="00AE4066">
        <w:rPr>
          <w:sz w:val="16"/>
          <w:szCs w:val="16"/>
          <w:lang w:eastAsia="en-GB"/>
        </w:rPr>
        <w:t>The Framework covers all National Societies in the ASEAN States in addition to Timor-Leste.</w:t>
      </w:r>
    </w:p>
  </w:footnote>
  <w:footnote w:id="2">
    <w:p w:rsidR="00CA42A5" w:rsidRDefault="00CA42A5">
      <w:pPr>
        <w:pStyle w:val="FootnoteText"/>
      </w:pPr>
      <w:r>
        <w:rPr>
          <w:rStyle w:val="FootnoteReference"/>
        </w:rPr>
        <w:footnoteRef/>
      </w:r>
      <w:r>
        <w:t xml:space="preserve"> </w:t>
      </w:r>
      <w:r w:rsidRPr="00CA42A5">
        <w:rPr>
          <w:rFonts w:cs="Arial"/>
          <w:sz w:val="18"/>
          <w:szCs w:val="18"/>
        </w:rPr>
        <w:t xml:space="preserve">Founding members of the Asian Coalition for School Safety include: </w:t>
      </w:r>
      <w:r w:rsidRPr="00CA42A5">
        <w:rPr>
          <w:rFonts w:cs="Arial"/>
          <w:i/>
          <w:sz w:val="18"/>
          <w:szCs w:val="18"/>
        </w:rPr>
        <w:t>UNICEF, UNESCO, Save the Children, Plan International, ADPC, Child Fund and ADRRN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2E7957">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53764A">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2E7957">
      <w:rPr>
        <w:rFonts w:ascii="Arial" w:hAnsi="Arial"/>
        <w:b/>
        <w:sz w:val="16"/>
      </w:rPr>
      <w:t>RCRC Overview</w:t>
    </w:r>
    <w:r>
      <w:rPr>
        <w:rFonts w:ascii="Arial" w:hAnsi="Arial"/>
        <w:b/>
        <w:sz w:val="16"/>
      </w:rPr>
      <w:t xml:space="preserve"> / </w:t>
    </w:r>
    <w:r w:rsidR="002E7957" w:rsidRPr="002E7957">
      <w:rPr>
        <w:rStyle w:val="Hyperlink"/>
        <w:rFonts w:ascii="Arial" w:hAnsi="Arial" w:cs="Arial"/>
        <w:b/>
        <w:bCs/>
        <w:color w:val="FF0000"/>
        <w:sz w:val="16"/>
        <w:szCs w:val="18"/>
        <w:u w:val="none"/>
      </w:rPr>
      <w:t>ACDM meeting, Brunei Darussalam</w:t>
    </w:r>
    <w:r w:rsidRPr="002E7957">
      <w:rPr>
        <w:rFonts w:ascii="Arial" w:hAnsi="Arial"/>
        <w:b/>
        <w:sz w:val="10"/>
        <w:szCs w:val="18"/>
      </w:rPr>
      <w:t xml:space="preserve"> </w:t>
    </w:r>
    <w:r>
      <w:rPr>
        <w:rFonts w:ascii="Arial" w:hAnsi="Arial"/>
        <w:b/>
        <w:sz w:val="16"/>
      </w:rPr>
      <w:t xml:space="preserve">/ </w:t>
    </w:r>
    <w:r w:rsidR="002E7957">
      <w:rPr>
        <w:rFonts w:ascii="Arial" w:hAnsi="Arial"/>
        <w:b/>
        <w:color w:val="7F7F7F"/>
        <w:sz w:val="16"/>
      </w:rPr>
      <w:t>October 2014</w:t>
    </w:r>
  </w:p>
  <w:p w:rsidR="00E91D9D" w:rsidRDefault="0053764A" w:rsidP="00E91D9D"/>
  <w:p w:rsidR="00E91D9D" w:rsidRDefault="005376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F24090F"/>
    <w:multiLevelType w:val="hybridMultilevel"/>
    <w:tmpl w:val="5B36A86A"/>
    <w:lvl w:ilvl="0" w:tplc="DD70A13E">
      <w:numFmt w:val="bullet"/>
      <w:lvlText w:val="-"/>
      <w:lvlJc w:val="left"/>
      <w:pPr>
        <w:ind w:left="360" w:hanging="360"/>
      </w:pPr>
      <w:rPr>
        <w:rFonts w:ascii="Calibri" w:eastAsiaTheme="minorHAnsi" w:hAnsi="Calibri" w:cstheme="minorBidi"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1">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2">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2">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5">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0">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7"/>
  </w:num>
  <w:num w:numId="2">
    <w:abstractNumId w:val="35"/>
  </w:num>
  <w:num w:numId="3">
    <w:abstractNumId w:val="20"/>
  </w:num>
  <w:num w:numId="4">
    <w:abstractNumId w:val="32"/>
  </w:num>
  <w:num w:numId="5">
    <w:abstractNumId w:val="21"/>
  </w:num>
  <w:num w:numId="6">
    <w:abstractNumId w:val="30"/>
  </w:num>
  <w:num w:numId="7">
    <w:abstractNumId w:val="17"/>
  </w:num>
  <w:num w:numId="8">
    <w:abstractNumId w:val="8"/>
  </w:num>
  <w:num w:numId="9">
    <w:abstractNumId w:val="22"/>
  </w:num>
  <w:num w:numId="10">
    <w:abstractNumId w:val="13"/>
  </w:num>
  <w:num w:numId="11">
    <w:abstractNumId w:val="29"/>
  </w:num>
  <w:num w:numId="12">
    <w:abstractNumId w:val="26"/>
  </w:num>
  <w:num w:numId="13">
    <w:abstractNumId w:val="9"/>
  </w:num>
  <w:num w:numId="14">
    <w:abstractNumId w:val="38"/>
  </w:num>
  <w:num w:numId="15">
    <w:abstractNumId w:val="25"/>
  </w:num>
  <w:num w:numId="16">
    <w:abstractNumId w:val="19"/>
  </w:num>
  <w:num w:numId="17">
    <w:abstractNumId w:val="12"/>
  </w:num>
  <w:num w:numId="18">
    <w:abstractNumId w:val="16"/>
  </w:num>
  <w:num w:numId="19">
    <w:abstractNumId w:val="33"/>
  </w:num>
  <w:num w:numId="20">
    <w:abstractNumId w:val="39"/>
  </w:num>
  <w:num w:numId="21">
    <w:abstractNumId w:val="24"/>
  </w:num>
  <w:num w:numId="22">
    <w:abstractNumId w:val="31"/>
  </w:num>
  <w:num w:numId="23">
    <w:abstractNumId w:val="41"/>
  </w:num>
  <w:num w:numId="24">
    <w:abstractNumId w:val="23"/>
  </w:num>
  <w:num w:numId="25">
    <w:abstractNumId w:val="7"/>
  </w:num>
  <w:num w:numId="26">
    <w:abstractNumId w:val="4"/>
  </w:num>
  <w:num w:numId="27">
    <w:abstractNumId w:val="3"/>
  </w:num>
  <w:num w:numId="28">
    <w:abstractNumId w:val="2"/>
  </w:num>
  <w:num w:numId="29">
    <w:abstractNumId w:val="1"/>
  </w:num>
  <w:num w:numId="30">
    <w:abstractNumId w:val="18"/>
  </w:num>
  <w:num w:numId="31">
    <w:abstractNumId w:val="11"/>
  </w:num>
  <w:num w:numId="32">
    <w:abstractNumId w:val="6"/>
  </w:num>
  <w:num w:numId="33">
    <w:abstractNumId w:val="5"/>
  </w:num>
  <w:num w:numId="34">
    <w:abstractNumId w:val="14"/>
  </w:num>
  <w:num w:numId="35">
    <w:abstractNumId w:val="37"/>
  </w:num>
  <w:num w:numId="36">
    <w:abstractNumId w:val="34"/>
  </w:num>
  <w:num w:numId="37">
    <w:abstractNumId w:val="21"/>
  </w:num>
  <w:num w:numId="38">
    <w:abstractNumId w:val="37"/>
  </w:num>
  <w:num w:numId="39">
    <w:abstractNumId w:val="18"/>
  </w:num>
  <w:num w:numId="40">
    <w:abstractNumId w:val="0"/>
  </w:num>
  <w:num w:numId="41">
    <w:abstractNumId w:val="15"/>
  </w:num>
  <w:num w:numId="42">
    <w:abstractNumId w:val="28"/>
  </w:num>
  <w:num w:numId="43">
    <w:abstractNumId w:val="36"/>
  </w:num>
  <w:num w:numId="44">
    <w:abstractNumId w:val="40"/>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A"/>
    <w:rsid w:val="000413CB"/>
    <w:rsid w:val="00095003"/>
    <w:rsid w:val="00102F65"/>
    <w:rsid w:val="0012739C"/>
    <w:rsid w:val="001A5CD2"/>
    <w:rsid w:val="001D29FA"/>
    <w:rsid w:val="00214CAA"/>
    <w:rsid w:val="002942E3"/>
    <w:rsid w:val="002A4840"/>
    <w:rsid w:val="002E7957"/>
    <w:rsid w:val="002F320A"/>
    <w:rsid w:val="003136A2"/>
    <w:rsid w:val="003A11FB"/>
    <w:rsid w:val="00407B22"/>
    <w:rsid w:val="004178D8"/>
    <w:rsid w:val="00493749"/>
    <w:rsid w:val="00524773"/>
    <w:rsid w:val="0053764A"/>
    <w:rsid w:val="00582857"/>
    <w:rsid w:val="005D4813"/>
    <w:rsid w:val="00625D9E"/>
    <w:rsid w:val="0064644B"/>
    <w:rsid w:val="00646F34"/>
    <w:rsid w:val="006F2D05"/>
    <w:rsid w:val="00741E78"/>
    <w:rsid w:val="007C7394"/>
    <w:rsid w:val="00894E08"/>
    <w:rsid w:val="008F2984"/>
    <w:rsid w:val="008F3486"/>
    <w:rsid w:val="009E2DC6"/>
    <w:rsid w:val="00A41CFC"/>
    <w:rsid w:val="00A529D3"/>
    <w:rsid w:val="00A70119"/>
    <w:rsid w:val="00B34D01"/>
    <w:rsid w:val="00B55F6C"/>
    <w:rsid w:val="00BF40F7"/>
    <w:rsid w:val="00CA42A5"/>
    <w:rsid w:val="00D35472"/>
    <w:rsid w:val="00DD7ECC"/>
    <w:rsid w:val="00EC3A1B"/>
    <w:rsid w:val="00F05849"/>
    <w:rsid w:val="00F9413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9E2DC6"/>
    <w:pPr>
      <w:ind w:right="-96"/>
      <w:outlineLvl w:val="0"/>
    </w:pPr>
    <w:rPr>
      <w:rFonts w:cs="Arial"/>
      <w:b/>
      <w:bCs/>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2DC6"/>
    <w:rPr>
      <w:rFonts w:ascii="Arial" w:hAnsi="Arial" w:cs="Arial"/>
      <w:b/>
      <w:bCs/>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9E2DC6"/>
    <w:pPr>
      <w:spacing w:before="0"/>
      <w:ind w:left="720"/>
      <w:jc w:val="both"/>
    </w:pPr>
    <w:rPr>
      <w:rFonts w:ascii="Times New Roman" w:eastAsia="Calibri" w:hAnsi="Times New Roman"/>
      <w:sz w:val="24"/>
      <w:lang w:val="en-GB" w:eastAsia="en-GB"/>
    </w:rPr>
  </w:style>
  <w:style w:type="paragraph" w:styleId="FootnoteText">
    <w:name w:val="footnote text"/>
    <w:aliases w:val="Footnote Text Quote,ft,single space"/>
    <w:basedOn w:val="Normal"/>
    <w:link w:val="FootnoteTextChar"/>
    <w:rsid w:val="009E2DC6"/>
    <w:pPr>
      <w:spacing w:before="0"/>
    </w:pPr>
    <w:rPr>
      <w:sz w:val="20"/>
      <w:szCs w:val="20"/>
    </w:rPr>
  </w:style>
  <w:style w:type="character" w:customStyle="1" w:styleId="FootnoteTextChar">
    <w:name w:val="Footnote Text Char"/>
    <w:aliases w:val="Footnote Text Quote Char,ft Char,single space Char"/>
    <w:basedOn w:val="DefaultParagraphFont"/>
    <w:link w:val="FootnoteText"/>
    <w:rsid w:val="009E2DC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9E2DC6"/>
    <w:pPr>
      <w:ind w:right="-96"/>
      <w:outlineLvl w:val="0"/>
    </w:pPr>
    <w:rPr>
      <w:rFonts w:cs="Arial"/>
      <w:b/>
      <w:bCs/>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2DC6"/>
    <w:rPr>
      <w:rFonts w:ascii="Arial" w:hAnsi="Arial" w:cs="Arial"/>
      <w:b/>
      <w:bCs/>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9E2DC6"/>
    <w:pPr>
      <w:spacing w:before="0"/>
      <w:ind w:left="720"/>
      <w:jc w:val="both"/>
    </w:pPr>
    <w:rPr>
      <w:rFonts w:ascii="Times New Roman" w:eastAsia="Calibri" w:hAnsi="Times New Roman"/>
      <w:sz w:val="24"/>
      <w:lang w:val="en-GB" w:eastAsia="en-GB"/>
    </w:rPr>
  </w:style>
  <w:style w:type="paragraph" w:styleId="FootnoteText">
    <w:name w:val="footnote text"/>
    <w:aliases w:val="Footnote Text Quote,ft,single space"/>
    <w:basedOn w:val="Normal"/>
    <w:link w:val="FootnoteTextChar"/>
    <w:rsid w:val="009E2DC6"/>
    <w:pPr>
      <w:spacing w:before="0"/>
    </w:pPr>
    <w:rPr>
      <w:sz w:val="20"/>
      <w:szCs w:val="20"/>
    </w:rPr>
  </w:style>
  <w:style w:type="character" w:customStyle="1" w:styleId="FootnoteTextChar">
    <w:name w:val="Footnote Text Char"/>
    <w:aliases w:val="Footnote Text Quote Char,ft Char,single space Char"/>
    <w:basedOn w:val="DefaultParagraphFont"/>
    <w:link w:val="FootnoteText"/>
    <w:rsid w:val="009E2D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e.leclerc@ifr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09%20COMMUNICATION\Internal%20communications\THE_COMPLETE_Corporate_Communication_Package\IFRC%20Templates\IFRC%20Generic%20template\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1817-FBF6-4408-88E1-6A1EC23C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44</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roux</dc:creator>
  <cp:lastModifiedBy>katherine roux</cp:lastModifiedBy>
  <cp:revision>38</cp:revision>
  <dcterms:created xsi:type="dcterms:W3CDTF">2014-10-13T08:32:00Z</dcterms:created>
  <dcterms:modified xsi:type="dcterms:W3CDTF">2014-10-13T09:16:00Z</dcterms:modified>
</cp:coreProperties>
</file>