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D" w:rsidRPr="003A6CA9" w:rsidRDefault="00F94139" w:rsidP="00E91D9D">
      <w:pPr>
        <w:rPr>
          <w:color w:val="FF0000"/>
        </w:rPr>
      </w:pPr>
      <w:r w:rsidRPr="003A6CA9">
        <w:rPr>
          <w:color w:val="FF0000"/>
        </w:rPr>
        <w:t xml:space="preserve">International Federation of Red Cross and Red Crescent Societies </w:t>
      </w:r>
    </w:p>
    <w:p w:rsidR="00E91D9D" w:rsidRDefault="000C1BAA" w:rsidP="00E91D9D">
      <w:pPr>
        <w:pStyle w:val="Projectsubtitle"/>
        <w:rPr>
          <w:rStyle w:val="Hyperlink"/>
          <w:rFonts w:ascii="Arial" w:hAnsi="Arial"/>
        </w:rPr>
      </w:pPr>
      <w:r>
        <w:rPr>
          <w:rFonts w:ascii="Arial Bold" w:hAnsi="Arial Bold"/>
          <w:sz w:val="52"/>
        </w:rPr>
        <w:t>Joint action plan</w:t>
      </w:r>
    </w:p>
    <w:p w:rsidR="00E91D9D" w:rsidRDefault="00AF725C" w:rsidP="00AF725C">
      <w:pPr>
        <w:pStyle w:val="Projectsubtitle"/>
        <w:rPr>
          <w:color w:val="595959"/>
        </w:rPr>
      </w:pPr>
      <w:r>
        <w:rPr>
          <w:rStyle w:val="Hyperlink"/>
          <w:color w:val="auto"/>
          <w:u w:val="none"/>
        </w:rPr>
        <w:t>Technical Cooperation between RCRC and AHA Centre</w:t>
      </w:r>
      <w:r w:rsidR="00F94139">
        <w:rPr>
          <w:rStyle w:val="Hyperlink"/>
          <w:color w:val="auto"/>
          <w:u w:val="none"/>
        </w:rPr>
        <w:t xml:space="preserve"> / </w:t>
      </w:r>
      <w:r>
        <w:rPr>
          <w:rStyle w:val="Hyperlink"/>
          <w:color w:val="FF0000"/>
          <w:u w:val="none"/>
        </w:rPr>
        <w:t>Bangkok</w:t>
      </w:r>
      <w:r w:rsidR="00F94139">
        <w:rPr>
          <w:rStyle w:val="Hyperlink"/>
          <w:color w:val="auto"/>
          <w:u w:val="none"/>
        </w:rPr>
        <w:t xml:space="preserve"> </w:t>
      </w:r>
      <w:r w:rsidR="00F94139" w:rsidRPr="00B470E5">
        <w:rPr>
          <w:color w:val="595959"/>
        </w:rPr>
        <w:t xml:space="preserve">/ </w:t>
      </w:r>
      <w:r w:rsidR="005A6E7F">
        <w:rPr>
          <w:color w:val="595959"/>
        </w:rPr>
        <w:t>13</w:t>
      </w:r>
      <w:r>
        <w:rPr>
          <w:color w:val="595959"/>
        </w:rPr>
        <w:t xml:space="preserve"> October 2014</w:t>
      </w:r>
    </w:p>
    <w:p w:rsidR="00E91D9D" w:rsidRDefault="00EB0B67" w:rsidP="00E91D9D">
      <w:pPr>
        <w:pStyle w:val="Projectsubtitle"/>
        <w:rPr>
          <w:color w:val="595959"/>
        </w:rPr>
      </w:pPr>
    </w:p>
    <w:p w:rsidR="00841505" w:rsidRPr="00D830C5" w:rsidRDefault="00730D85" w:rsidP="00481415">
      <w:pPr>
        <w:ind w:right="-96"/>
        <w:jc w:val="both"/>
        <w:rPr>
          <w:i/>
          <w:sz w:val="20"/>
        </w:rPr>
      </w:pPr>
      <w:r w:rsidRPr="00D830C5">
        <w:rPr>
          <w:i/>
          <w:sz w:val="20"/>
        </w:rPr>
        <w:t>In September 2014, representatives from Southeast Asia Red Cross and Red Crescent (RCRC) National Societies (NS) gathered in Bangkok as part of the Community Safety</w:t>
      </w:r>
      <w:r w:rsidR="00481415">
        <w:rPr>
          <w:i/>
          <w:sz w:val="20"/>
        </w:rPr>
        <w:t xml:space="preserve"> and</w:t>
      </w:r>
      <w:r w:rsidRPr="00D830C5">
        <w:rPr>
          <w:i/>
          <w:sz w:val="20"/>
        </w:rPr>
        <w:t xml:space="preserve"> Resilience Forum to </w:t>
      </w:r>
      <w:r w:rsidR="00841505" w:rsidRPr="00D830C5">
        <w:rPr>
          <w:i/>
          <w:sz w:val="20"/>
        </w:rPr>
        <w:t xml:space="preserve">enhance </w:t>
      </w:r>
      <w:r w:rsidR="005A6E7F">
        <w:rPr>
          <w:i/>
          <w:sz w:val="20"/>
        </w:rPr>
        <w:t>their integrated</w:t>
      </w:r>
      <w:r w:rsidR="00841505" w:rsidRPr="00D830C5">
        <w:rPr>
          <w:i/>
          <w:sz w:val="20"/>
        </w:rPr>
        <w:t xml:space="preserve"> approach for community resilience building and strengthen the regional cooperation among and between members. Participants included Department Heads for Disaster Management, Health and  Organizational Development as well as a representative from the ASEAN Humanitarian Assistance (AHA) Centre. </w:t>
      </w:r>
    </w:p>
    <w:p w:rsidR="001A047C" w:rsidRDefault="00D830C5" w:rsidP="00535DDC">
      <w:pPr>
        <w:ind w:right="-96"/>
        <w:jc w:val="both"/>
        <w:rPr>
          <w:i/>
          <w:sz w:val="20"/>
        </w:rPr>
      </w:pPr>
      <w:r w:rsidRPr="00D830C5">
        <w:rPr>
          <w:i/>
          <w:sz w:val="20"/>
        </w:rPr>
        <w:t xml:space="preserve">During technical discussions, it was agreed that IFRC, RCRC National Societies and </w:t>
      </w:r>
      <w:r w:rsidR="00535DDC">
        <w:rPr>
          <w:i/>
          <w:sz w:val="20"/>
        </w:rPr>
        <w:t xml:space="preserve">the </w:t>
      </w:r>
      <w:r w:rsidRPr="00D830C5">
        <w:rPr>
          <w:i/>
          <w:sz w:val="20"/>
        </w:rPr>
        <w:t xml:space="preserve">AHA Centre should continue building on the positive collaboration undertaken so far and explore opportunities for </w:t>
      </w:r>
      <w:r w:rsidR="00535DDC">
        <w:rPr>
          <w:i/>
          <w:sz w:val="20"/>
        </w:rPr>
        <w:t xml:space="preserve">further </w:t>
      </w:r>
      <w:r w:rsidRPr="00D830C5">
        <w:rPr>
          <w:i/>
          <w:sz w:val="20"/>
        </w:rPr>
        <w:t xml:space="preserve">technical </w:t>
      </w:r>
      <w:r w:rsidR="00535DDC">
        <w:rPr>
          <w:i/>
          <w:sz w:val="20"/>
        </w:rPr>
        <w:t xml:space="preserve">cooperation in the form of a ‘joint action plan’. </w:t>
      </w:r>
    </w:p>
    <w:p w:rsidR="00B22B9E" w:rsidRDefault="00535DDC" w:rsidP="00535DDC">
      <w:pPr>
        <w:ind w:right="-96"/>
        <w:jc w:val="both"/>
        <w:rPr>
          <w:i/>
          <w:sz w:val="20"/>
        </w:rPr>
      </w:pPr>
      <w:r>
        <w:rPr>
          <w:i/>
          <w:sz w:val="20"/>
        </w:rPr>
        <w:t xml:space="preserve">This plan </w:t>
      </w:r>
      <w:r w:rsidR="005A6E7F">
        <w:rPr>
          <w:i/>
          <w:sz w:val="20"/>
        </w:rPr>
        <w:t>was discussed at a</w:t>
      </w:r>
      <w:r w:rsidR="00B22B9E">
        <w:rPr>
          <w:i/>
          <w:sz w:val="20"/>
        </w:rPr>
        <w:t xml:space="preserve"> subsequent technical m</w:t>
      </w:r>
      <w:r>
        <w:rPr>
          <w:i/>
          <w:sz w:val="20"/>
        </w:rPr>
        <w:t>eeting held on 8 October 2014 at the</w:t>
      </w:r>
      <w:r w:rsidR="00B22B9E">
        <w:rPr>
          <w:i/>
          <w:sz w:val="20"/>
        </w:rPr>
        <w:t xml:space="preserve"> A</w:t>
      </w:r>
      <w:r w:rsidR="005A6E7F">
        <w:rPr>
          <w:i/>
          <w:sz w:val="20"/>
        </w:rPr>
        <w:t>HA Centre (Jakarta, Indonesia), where participants agreed to un</w:t>
      </w:r>
      <w:r>
        <w:rPr>
          <w:i/>
          <w:sz w:val="20"/>
        </w:rPr>
        <w:t>dertake collaborative efforts for</w:t>
      </w:r>
      <w:r w:rsidR="002445A4">
        <w:rPr>
          <w:i/>
          <w:sz w:val="20"/>
        </w:rPr>
        <w:t xml:space="preserve"> the following activities:</w:t>
      </w:r>
    </w:p>
    <w:p w:rsidR="00B22B9E" w:rsidRDefault="00B22B9E" w:rsidP="00B22B9E">
      <w:pPr>
        <w:ind w:right="-96"/>
        <w:jc w:val="both"/>
        <w:rPr>
          <w:i/>
          <w:sz w:val="20"/>
        </w:rPr>
      </w:pPr>
    </w:p>
    <w:p w:rsidR="00E91D9D" w:rsidRDefault="00D830C5" w:rsidP="00D830C5">
      <w:pPr>
        <w:pStyle w:val="Heading1"/>
      </w:pPr>
      <w:r>
        <w:t>1/ Sharing information</w:t>
      </w:r>
    </w:p>
    <w:p w:rsidR="00B22B9E" w:rsidRDefault="00B22B9E" w:rsidP="00D830C5"/>
    <w:tbl>
      <w:tblPr>
        <w:tblStyle w:val="TableGrid"/>
        <w:tblW w:w="0" w:type="auto"/>
        <w:tblLook w:val="04A0" w:firstRow="1" w:lastRow="0" w:firstColumn="1" w:lastColumn="0" w:noHBand="0" w:noVBand="1"/>
      </w:tblPr>
      <w:tblGrid>
        <w:gridCol w:w="2754"/>
        <w:gridCol w:w="2251"/>
        <w:gridCol w:w="2442"/>
        <w:gridCol w:w="2401"/>
      </w:tblGrid>
      <w:tr w:rsidR="00B22B9E" w:rsidTr="00B22B9E">
        <w:trPr>
          <w:trHeight w:val="373"/>
        </w:trPr>
        <w:tc>
          <w:tcPr>
            <w:tcW w:w="2754" w:type="dxa"/>
            <w:shd w:val="clear" w:color="auto" w:fill="D9D9D9" w:themeFill="background1" w:themeFillShade="D9"/>
          </w:tcPr>
          <w:p w:rsidR="00B22B9E" w:rsidRPr="00B22B9E" w:rsidRDefault="00B22B9E" w:rsidP="00D830C5">
            <w:pPr>
              <w:rPr>
                <w:sz w:val="20"/>
                <w:szCs w:val="22"/>
              </w:rPr>
            </w:pPr>
            <w:r w:rsidRPr="00B22B9E">
              <w:rPr>
                <w:sz w:val="20"/>
                <w:szCs w:val="22"/>
              </w:rPr>
              <w:t>What</w:t>
            </w:r>
          </w:p>
        </w:tc>
        <w:tc>
          <w:tcPr>
            <w:tcW w:w="2251" w:type="dxa"/>
            <w:shd w:val="clear" w:color="auto" w:fill="D9D9D9" w:themeFill="background1" w:themeFillShade="D9"/>
          </w:tcPr>
          <w:p w:rsidR="00B22B9E" w:rsidRPr="00B22B9E" w:rsidRDefault="00B22B9E" w:rsidP="00D830C5">
            <w:pPr>
              <w:rPr>
                <w:sz w:val="20"/>
                <w:szCs w:val="22"/>
              </w:rPr>
            </w:pPr>
            <w:r w:rsidRPr="00B22B9E">
              <w:rPr>
                <w:sz w:val="20"/>
                <w:szCs w:val="22"/>
              </w:rPr>
              <w:t>How</w:t>
            </w:r>
          </w:p>
        </w:tc>
        <w:tc>
          <w:tcPr>
            <w:tcW w:w="2442" w:type="dxa"/>
            <w:shd w:val="clear" w:color="auto" w:fill="D9D9D9" w:themeFill="background1" w:themeFillShade="D9"/>
          </w:tcPr>
          <w:p w:rsidR="00B22B9E" w:rsidRPr="00B22B9E" w:rsidRDefault="00B22B9E" w:rsidP="00D830C5">
            <w:pPr>
              <w:rPr>
                <w:sz w:val="20"/>
                <w:szCs w:val="22"/>
              </w:rPr>
            </w:pPr>
            <w:r w:rsidRPr="00B22B9E">
              <w:rPr>
                <w:sz w:val="20"/>
                <w:szCs w:val="22"/>
              </w:rPr>
              <w:t>When</w:t>
            </w:r>
          </w:p>
        </w:tc>
        <w:tc>
          <w:tcPr>
            <w:tcW w:w="2401" w:type="dxa"/>
            <w:shd w:val="clear" w:color="auto" w:fill="D9D9D9" w:themeFill="background1" w:themeFillShade="D9"/>
          </w:tcPr>
          <w:p w:rsidR="00B22B9E" w:rsidRPr="00B22B9E" w:rsidRDefault="00B22B9E" w:rsidP="00D830C5">
            <w:pPr>
              <w:rPr>
                <w:sz w:val="20"/>
                <w:szCs w:val="22"/>
              </w:rPr>
            </w:pPr>
            <w:r w:rsidRPr="00B22B9E">
              <w:rPr>
                <w:sz w:val="20"/>
                <w:szCs w:val="22"/>
              </w:rPr>
              <w:t>Who</w:t>
            </w:r>
          </w:p>
        </w:tc>
      </w:tr>
      <w:tr w:rsidR="00B22B9E" w:rsidTr="00B22B9E">
        <w:trPr>
          <w:trHeight w:val="373"/>
        </w:trPr>
        <w:tc>
          <w:tcPr>
            <w:tcW w:w="2754" w:type="dxa"/>
          </w:tcPr>
          <w:p w:rsidR="00B22B9E" w:rsidRPr="00B22B9E" w:rsidRDefault="00B22B9E" w:rsidP="00B22B9E">
            <w:pPr>
              <w:rPr>
                <w:sz w:val="20"/>
                <w:szCs w:val="22"/>
              </w:rPr>
            </w:pPr>
            <w:r w:rsidRPr="00B22B9E">
              <w:rPr>
                <w:sz w:val="20"/>
                <w:szCs w:val="22"/>
              </w:rPr>
              <w:t xml:space="preserve">NSs and IFRC to provide updates about response operations </w:t>
            </w:r>
          </w:p>
        </w:tc>
        <w:tc>
          <w:tcPr>
            <w:tcW w:w="2251" w:type="dxa"/>
          </w:tcPr>
          <w:p w:rsidR="00B22B9E" w:rsidRDefault="00B22B9E" w:rsidP="001B5B5F">
            <w:pPr>
              <w:rPr>
                <w:sz w:val="20"/>
                <w:szCs w:val="22"/>
              </w:rPr>
            </w:pPr>
            <w:r>
              <w:rPr>
                <w:sz w:val="20"/>
                <w:szCs w:val="22"/>
              </w:rPr>
              <w:t xml:space="preserve">Identify </w:t>
            </w:r>
            <w:r w:rsidR="001B5B5F">
              <w:rPr>
                <w:sz w:val="20"/>
                <w:szCs w:val="22"/>
              </w:rPr>
              <w:t>modalities</w:t>
            </w:r>
            <w:r>
              <w:rPr>
                <w:sz w:val="20"/>
                <w:szCs w:val="22"/>
              </w:rPr>
              <w:t xml:space="preserve"> </w:t>
            </w:r>
            <w:r w:rsidRPr="00B22B9E">
              <w:rPr>
                <w:sz w:val="20"/>
                <w:szCs w:val="22"/>
              </w:rPr>
              <w:t xml:space="preserve">to share </w:t>
            </w:r>
            <w:r>
              <w:rPr>
                <w:sz w:val="20"/>
                <w:szCs w:val="22"/>
              </w:rPr>
              <w:t>information</w:t>
            </w:r>
            <w:r w:rsidRPr="00B22B9E">
              <w:rPr>
                <w:sz w:val="20"/>
                <w:szCs w:val="22"/>
              </w:rPr>
              <w:t xml:space="preserve"> from </w:t>
            </w:r>
            <w:r>
              <w:rPr>
                <w:sz w:val="20"/>
                <w:szCs w:val="22"/>
              </w:rPr>
              <w:t xml:space="preserve">NS Operation Emergency Centers and IFRC DMU </w:t>
            </w:r>
            <w:r w:rsidRPr="00B22B9E">
              <w:rPr>
                <w:sz w:val="20"/>
                <w:szCs w:val="22"/>
              </w:rPr>
              <w:t xml:space="preserve"> to AHA Centre</w:t>
            </w:r>
          </w:p>
          <w:p w:rsidR="00B22B9E" w:rsidRPr="00B22B9E" w:rsidRDefault="00B22B9E" w:rsidP="00B22B9E">
            <w:pPr>
              <w:rPr>
                <w:sz w:val="20"/>
                <w:szCs w:val="22"/>
              </w:rPr>
            </w:pPr>
          </w:p>
        </w:tc>
        <w:tc>
          <w:tcPr>
            <w:tcW w:w="2442" w:type="dxa"/>
          </w:tcPr>
          <w:p w:rsidR="00B22B9E" w:rsidRDefault="00B22B9E" w:rsidP="00D830C5">
            <w:pPr>
              <w:rPr>
                <w:sz w:val="20"/>
                <w:szCs w:val="22"/>
              </w:rPr>
            </w:pPr>
            <w:r>
              <w:rPr>
                <w:sz w:val="20"/>
                <w:szCs w:val="22"/>
              </w:rPr>
              <w:t>2014 and 2015</w:t>
            </w:r>
          </w:p>
          <w:p w:rsidR="00B22B9E" w:rsidRPr="00B22B9E" w:rsidRDefault="00B22B9E" w:rsidP="00D830C5">
            <w:pPr>
              <w:rPr>
                <w:sz w:val="20"/>
                <w:szCs w:val="22"/>
              </w:rPr>
            </w:pPr>
          </w:p>
        </w:tc>
        <w:tc>
          <w:tcPr>
            <w:tcW w:w="2401" w:type="dxa"/>
          </w:tcPr>
          <w:p w:rsidR="00B22B9E" w:rsidRDefault="00B22B9E" w:rsidP="00D830C5">
            <w:pPr>
              <w:rPr>
                <w:sz w:val="20"/>
                <w:szCs w:val="22"/>
              </w:rPr>
            </w:pPr>
            <w:r>
              <w:rPr>
                <w:sz w:val="20"/>
                <w:szCs w:val="22"/>
              </w:rPr>
              <w:t>NS</w:t>
            </w:r>
          </w:p>
          <w:p w:rsidR="00B22B9E" w:rsidRDefault="00B22B9E" w:rsidP="00D830C5">
            <w:pPr>
              <w:rPr>
                <w:sz w:val="20"/>
                <w:szCs w:val="22"/>
              </w:rPr>
            </w:pPr>
            <w:r>
              <w:rPr>
                <w:sz w:val="20"/>
                <w:szCs w:val="22"/>
              </w:rPr>
              <w:t>IFRC / DM Unit in Zone Office</w:t>
            </w:r>
          </w:p>
          <w:p w:rsidR="00B22B9E" w:rsidRPr="00B22B9E" w:rsidRDefault="00B22B9E" w:rsidP="00D830C5">
            <w:pPr>
              <w:rPr>
                <w:sz w:val="20"/>
                <w:szCs w:val="22"/>
              </w:rPr>
            </w:pPr>
          </w:p>
        </w:tc>
      </w:tr>
      <w:tr w:rsidR="00B22B9E" w:rsidTr="00B22B9E">
        <w:trPr>
          <w:trHeight w:val="373"/>
        </w:trPr>
        <w:tc>
          <w:tcPr>
            <w:tcW w:w="2754" w:type="dxa"/>
          </w:tcPr>
          <w:p w:rsidR="00B22B9E" w:rsidRDefault="00B22B9E" w:rsidP="00B22B9E">
            <w:pPr>
              <w:rPr>
                <w:sz w:val="20"/>
                <w:szCs w:val="22"/>
              </w:rPr>
            </w:pPr>
            <w:r w:rsidRPr="00B22B9E">
              <w:rPr>
                <w:sz w:val="20"/>
                <w:szCs w:val="22"/>
              </w:rPr>
              <w:t xml:space="preserve">AHA Centre to </w:t>
            </w:r>
            <w:r>
              <w:rPr>
                <w:sz w:val="20"/>
                <w:szCs w:val="22"/>
              </w:rPr>
              <w:t>send updates to NSs and IFRC</w:t>
            </w:r>
          </w:p>
          <w:p w:rsidR="008639F5" w:rsidRPr="008639F5" w:rsidRDefault="008639F5" w:rsidP="00EF3B47">
            <w:pPr>
              <w:rPr>
                <w:i/>
                <w:iCs/>
                <w:sz w:val="20"/>
                <w:szCs w:val="22"/>
              </w:rPr>
            </w:pPr>
            <w:r w:rsidRPr="008639F5">
              <w:rPr>
                <w:i/>
                <w:iCs/>
                <w:sz w:val="20"/>
                <w:szCs w:val="22"/>
              </w:rPr>
              <w:t>(</w:t>
            </w:r>
            <w:r w:rsidR="00EF3B47">
              <w:rPr>
                <w:i/>
                <w:iCs/>
                <w:sz w:val="20"/>
                <w:szCs w:val="22"/>
              </w:rPr>
              <w:t>emergency / non-emergency updates)</w:t>
            </w:r>
          </w:p>
          <w:p w:rsidR="00B22B9E" w:rsidRPr="00B22B9E" w:rsidRDefault="00B22B9E" w:rsidP="00D830C5">
            <w:pPr>
              <w:rPr>
                <w:sz w:val="20"/>
                <w:szCs w:val="22"/>
              </w:rPr>
            </w:pPr>
          </w:p>
        </w:tc>
        <w:tc>
          <w:tcPr>
            <w:tcW w:w="2251" w:type="dxa"/>
          </w:tcPr>
          <w:p w:rsidR="00B22B9E" w:rsidRPr="00B22B9E" w:rsidRDefault="00B22B9E" w:rsidP="00B22B9E">
            <w:pPr>
              <w:rPr>
                <w:sz w:val="20"/>
                <w:szCs w:val="22"/>
              </w:rPr>
            </w:pPr>
            <w:r>
              <w:rPr>
                <w:sz w:val="20"/>
                <w:szCs w:val="22"/>
              </w:rPr>
              <w:t>AHA Centre will include NS and IFRC identified key focal points in its mailing list</w:t>
            </w:r>
          </w:p>
        </w:tc>
        <w:tc>
          <w:tcPr>
            <w:tcW w:w="2442" w:type="dxa"/>
          </w:tcPr>
          <w:p w:rsidR="00B22B9E" w:rsidRPr="00B22B9E" w:rsidRDefault="00B22B9E" w:rsidP="00D830C5">
            <w:pPr>
              <w:rPr>
                <w:sz w:val="20"/>
                <w:szCs w:val="22"/>
              </w:rPr>
            </w:pPr>
            <w:r>
              <w:rPr>
                <w:sz w:val="20"/>
                <w:szCs w:val="22"/>
              </w:rPr>
              <w:t>2014 and ongoing</w:t>
            </w:r>
          </w:p>
        </w:tc>
        <w:tc>
          <w:tcPr>
            <w:tcW w:w="2401" w:type="dxa"/>
          </w:tcPr>
          <w:p w:rsidR="00B22B9E" w:rsidRDefault="00B22B9E" w:rsidP="00B22B9E">
            <w:pPr>
              <w:rPr>
                <w:sz w:val="20"/>
                <w:szCs w:val="22"/>
              </w:rPr>
            </w:pPr>
            <w:r>
              <w:rPr>
                <w:sz w:val="20"/>
                <w:szCs w:val="22"/>
              </w:rPr>
              <w:t>IFRC Regional Delegation Bangkok</w:t>
            </w:r>
          </w:p>
          <w:p w:rsidR="008A2053" w:rsidRDefault="008A2053" w:rsidP="00B22B9E">
            <w:pPr>
              <w:rPr>
                <w:sz w:val="20"/>
                <w:szCs w:val="22"/>
              </w:rPr>
            </w:pPr>
            <w:r>
              <w:rPr>
                <w:sz w:val="20"/>
                <w:szCs w:val="22"/>
              </w:rPr>
              <w:t>AHA Centre</w:t>
            </w:r>
          </w:p>
          <w:p w:rsidR="008A2053" w:rsidRPr="00B22B9E" w:rsidRDefault="008A2053" w:rsidP="00B22B9E">
            <w:pPr>
              <w:rPr>
                <w:sz w:val="20"/>
                <w:szCs w:val="22"/>
              </w:rPr>
            </w:pPr>
            <w:r>
              <w:rPr>
                <w:sz w:val="20"/>
                <w:szCs w:val="22"/>
              </w:rPr>
              <w:t>NS</w:t>
            </w:r>
          </w:p>
        </w:tc>
      </w:tr>
    </w:tbl>
    <w:p w:rsidR="00B22B9E" w:rsidRDefault="00B22B9E" w:rsidP="00D830C5"/>
    <w:p w:rsidR="00D830C5" w:rsidRPr="00D830C5" w:rsidRDefault="00D830C5" w:rsidP="00D830C5">
      <w:pPr>
        <w:pStyle w:val="Heading1"/>
        <w:rPr>
          <w:lang w:val="en-GB"/>
        </w:rPr>
      </w:pPr>
      <w:r>
        <w:rPr>
          <w:lang w:val="en-GB"/>
        </w:rPr>
        <w:t>2/ Operational response frameworks</w:t>
      </w:r>
    </w:p>
    <w:p w:rsidR="00D830C5" w:rsidRDefault="00D830C5" w:rsidP="00D830C5"/>
    <w:tbl>
      <w:tblPr>
        <w:tblStyle w:val="TableGrid"/>
        <w:tblW w:w="0" w:type="auto"/>
        <w:tblLook w:val="04A0" w:firstRow="1" w:lastRow="0" w:firstColumn="1" w:lastColumn="0" w:noHBand="0" w:noVBand="1"/>
      </w:tblPr>
      <w:tblGrid>
        <w:gridCol w:w="2754"/>
        <w:gridCol w:w="2251"/>
        <w:gridCol w:w="2442"/>
        <w:gridCol w:w="2401"/>
      </w:tblGrid>
      <w:tr w:rsidR="00B22B9E" w:rsidTr="00522C6A">
        <w:trPr>
          <w:trHeight w:val="373"/>
        </w:trPr>
        <w:tc>
          <w:tcPr>
            <w:tcW w:w="2754" w:type="dxa"/>
            <w:shd w:val="clear" w:color="auto" w:fill="D9D9D9" w:themeFill="background1" w:themeFillShade="D9"/>
          </w:tcPr>
          <w:p w:rsidR="00B22B9E" w:rsidRPr="00B22B9E" w:rsidRDefault="00B22B9E" w:rsidP="00522C6A">
            <w:pPr>
              <w:rPr>
                <w:sz w:val="20"/>
                <w:szCs w:val="20"/>
              </w:rPr>
            </w:pPr>
            <w:r w:rsidRPr="00B22B9E">
              <w:rPr>
                <w:sz w:val="20"/>
                <w:szCs w:val="20"/>
              </w:rPr>
              <w:t>What</w:t>
            </w:r>
          </w:p>
        </w:tc>
        <w:tc>
          <w:tcPr>
            <w:tcW w:w="2251" w:type="dxa"/>
            <w:shd w:val="clear" w:color="auto" w:fill="D9D9D9" w:themeFill="background1" w:themeFillShade="D9"/>
          </w:tcPr>
          <w:p w:rsidR="00B22B9E" w:rsidRPr="00B22B9E" w:rsidRDefault="00B22B9E" w:rsidP="00522C6A">
            <w:pPr>
              <w:rPr>
                <w:sz w:val="20"/>
                <w:szCs w:val="20"/>
              </w:rPr>
            </w:pPr>
            <w:r w:rsidRPr="00B22B9E">
              <w:rPr>
                <w:sz w:val="20"/>
                <w:szCs w:val="20"/>
              </w:rPr>
              <w:t>How</w:t>
            </w:r>
          </w:p>
        </w:tc>
        <w:tc>
          <w:tcPr>
            <w:tcW w:w="2442" w:type="dxa"/>
            <w:shd w:val="clear" w:color="auto" w:fill="D9D9D9" w:themeFill="background1" w:themeFillShade="D9"/>
          </w:tcPr>
          <w:p w:rsidR="00B22B9E" w:rsidRPr="00B22B9E" w:rsidRDefault="00B22B9E" w:rsidP="00522C6A">
            <w:pPr>
              <w:rPr>
                <w:sz w:val="20"/>
                <w:szCs w:val="20"/>
              </w:rPr>
            </w:pPr>
            <w:r w:rsidRPr="00B22B9E">
              <w:rPr>
                <w:sz w:val="20"/>
                <w:szCs w:val="20"/>
              </w:rPr>
              <w:t>When</w:t>
            </w:r>
          </w:p>
        </w:tc>
        <w:tc>
          <w:tcPr>
            <w:tcW w:w="2401" w:type="dxa"/>
            <w:shd w:val="clear" w:color="auto" w:fill="D9D9D9" w:themeFill="background1" w:themeFillShade="D9"/>
          </w:tcPr>
          <w:p w:rsidR="00B22B9E" w:rsidRPr="00B22B9E" w:rsidRDefault="00B22B9E" w:rsidP="00522C6A">
            <w:pPr>
              <w:rPr>
                <w:sz w:val="20"/>
                <w:szCs w:val="20"/>
              </w:rPr>
            </w:pPr>
            <w:r w:rsidRPr="00B22B9E">
              <w:rPr>
                <w:sz w:val="20"/>
                <w:szCs w:val="20"/>
              </w:rPr>
              <w:t>Who</w:t>
            </w:r>
          </w:p>
        </w:tc>
      </w:tr>
      <w:tr w:rsidR="00B22B9E" w:rsidTr="00522C6A">
        <w:trPr>
          <w:trHeight w:val="373"/>
        </w:trPr>
        <w:tc>
          <w:tcPr>
            <w:tcW w:w="2754" w:type="dxa"/>
          </w:tcPr>
          <w:p w:rsidR="00B22B9E" w:rsidRPr="00B22B9E" w:rsidRDefault="00B22B9E" w:rsidP="001C3351">
            <w:pPr>
              <w:rPr>
                <w:rFonts w:asciiTheme="minorBidi" w:hAnsiTheme="minorBidi" w:cstheme="minorBidi"/>
                <w:sz w:val="20"/>
                <w:szCs w:val="20"/>
              </w:rPr>
            </w:pPr>
            <w:r w:rsidRPr="00B22B9E">
              <w:rPr>
                <w:rFonts w:asciiTheme="minorBidi" w:hAnsiTheme="minorBidi" w:cstheme="minorBidi"/>
                <w:sz w:val="20"/>
                <w:szCs w:val="20"/>
              </w:rPr>
              <w:t xml:space="preserve">Move towards </w:t>
            </w:r>
            <w:r w:rsidR="001C3351">
              <w:rPr>
                <w:rFonts w:asciiTheme="minorBidi" w:hAnsiTheme="minorBidi" w:cstheme="minorBidi"/>
                <w:sz w:val="20"/>
                <w:szCs w:val="20"/>
              </w:rPr>
              <w:t xml:space="preserve">improved coordination </w:t>
            </w:r>
            <w:r w:rsidRPr="00B22B9E">
              <w:rPr>
                <w:rFonts w:asciiTheme="minorBidi" w:hAnsiTheme="minorBidi" w:cstheme="minorBidi"/>
                <w:sz w:val="20"/>
                <w:szCs w:val="20"/>
              </w:rPr>
              <w:t xml:space="preserve">of RDRT and ERAT </w:t>
            </w:r>
          </w:p>
          <w:p w:rsidR="00B22B9E" w:rsidRPr="00B22B9E" w:rsidRDefault="00B22B9E" w:rsidP="00522C6A">
            <w:pPr>
              <w:rPr>
                <w:rFonts w:asciiTheme="minorBidi" w:hAnsiTheme="minorBidi" w:cstheme="minorBidi"/>
                <w:sz w:val="20"/>
                <w:szCs w:val="20"/>
              </w:rPr>
            </w:pPr>
          </w:p>
        </w:tc>
        <w:tc>
          <w:tcPr>
            <w:tcW w:w="2251" w:type="dxa"/>
          </w:tcPr>
          <w:p w:rsidR="00B22B9E" w:rsidRPr="00B22B9E" w:rsidRDefault="00B22B9E" w:rsidP="00CE7F08">
            <w:pPr>
              <w:pStyle w:val="ListParagraph"/>
              <w:numPr>
                <w:ilvl w:val="0"/>
                <w:numId w:val="50"/>
              </w:numPr>
              <w:ind w:left="306" w:hanging="270"/>
              <w:rPr>
                <w:rFonts w:asciiTheme="minorBidi" w:hAnsiTheme="minorBidi"/>
                <w:sz w:val="20"/>
                <w:szCs w:val="20"/>
              </w:rPr>
            </w:pPr>
            <w:r w:rsidRPr="00B22B9E">
              <w:rPr>
                <w:rFonts w:asciiTheme="minorBidi" w:hAnsiTheme="minorBidi"/>
                <w:sz w:val="20"/>
                <w:szCs w:val="20"/>
              </w:rPr>
              <w:t>AHA Centre to invite RCRC participants in ERAT training</w:t>
            </w:r>
          </w:p>
          <w:p w:rsidR="00B22B9E" w:rsidRDefault="00B22B9E" w:rsidP="00CE7F08">
            <w:pPr>
              <w:pStyle w:val="ListParagraph"/>
              <w:numPr>
                <w:ilvl w:val="0"/>
                <w:numId w:val="50"/>
              </w:numPr>
              <w:ind w:left="306" w:hanging="270"/>
              <w:rPr>
                <w:rFonts w:asciiTheme="minorBidi" w:hAnsiTheme="minorBidi"/>
                <w:sz w:val="20"/>
                <w:szCs w:val="20"/>
              </w:rPr>
            </w:pPr>
            <w:r>
              <w:rPr>
                <w:rFonts w:asciiTheme="minorBidi" w:hAnsiTheme="minorBidi"/>
                <w:sz w:val="20"/>
                <w:szCs w:val="20"/>
              </w:rPr>
              <w:t xml:space="preserve">IFRC to invite AHA Centre </w:t>
            </w:r>
            <w:r w:rsidR="00CE7F08">
              <w:rPr>
                <w:rFonts w:asciiTheme="minorBidi" w:hAnsiTheme="minorBidi"/>
                <w:sz w:val="20"/>
                <w:szCs w:val="20"/>
              </w:rPr>
              <w:t>participants in RDRT training</w:t>
            </w:r>
          </w:p>
          <w:p w:rsidR="00CE7F08" w:rsidRDefault="00CE7F08" w:rsidP="00EC0727">
            <w:pPr>
              <w:pStyle w:val="ListParagraph"/>
              <w:numPr>
                <w:ilvl w:val="0"/>
                <w:numId w:val="50"/>
              </w:numPr>
              <w:ind w:left="306" w:hanging="270"/>
              <w:rPr>
                <w:rFonts w:asciiTheme="minorBidi" w:hAnsiTheme="minorBidi"/>
                <w:sz w:val="20"/>
                <w:szCs w:val="20"/>
              </w:rPr>
            </w:pPr>
            <w:r>
              <w:rPr>
                <w:rFonts w:asciiTheme="minorBidi" w:hAnsiTheme="minorBidi"/>
                <w:sz w:val="20"/>
                <w:szCs w:val="20"/>
              </w:rPr>
              <w:t>Potential RDRT secondment to a ERAT deployment</w:t>
            </w:r>
            <w:r w:rsidR="00535DDC">
              <w:rPr>
                <w:rFonts w:asciiTheme="minorBidi" w:hAnsiTheme="minorBidi"/>
                <w:sz w:val="20"/>
                <w:szCs w:val="20"/>
              </w:rPr>
              <w:t xml:space="preserve"> (and maybe vice-versa</w:t>
            </w:r>
            <w:r w:rsidR="008A2053">
              <w:rPr>
                <w:rFonts w:asciiTheme="minorBidi" w:hAnsiTheme="minorBidi"/>
                <w:sz w:val="20"/>
                <w:szCs w:val="20"/>
              </w:rPr>
              <w:t>)</w:t>
            </w:r>
            <w:r>
              <w:rPr>
                <w:rFonts w:asciiTheme="minorBidi" w:hAnsiTheme="minorBidi"/>
                <w:sz w:val="20"/>
                <w:szCs w:val="20"/>
              </w:rPr>
              <w:t xml:space="preserve"> in a </w:t>
            </w:r>
            <w:r>
              <w:rPr>
                <w:rFonts w:asciiTheme="minorBidi" w:hAnsiTheme="minorBidi"/>
                <w:sz w:val="20"/>
                <w:szCs w:val="20"/>
              </w:rPr>
              <w:lastRenderedPageBreak/>
              <w:t>response operation</w:t>
            </w:r>
          </w:p>
          <w:p w:rsidR="00ED405B" w:rsidRPr="00B22B9E" w:rsidRDefault="00ED405B" w:rsidP="001D4CD2">
            <w:pPr>
              <w:pStyle w:val="ListParagraph"/>
              <w:numPr>
                <w:ilvl w:val="0"/>
                <w:numId w:val="50"/>
              </w:numPr>
              <w:ind w:left="306" w:hanging="270"/>
              <w:rPr>
                <w:rFonts w:asciiTheme="minorBidi" w:hAnsiTheme="minorBidi"/>
                <w:sz w:val="20"/>
                <w:szCs w:val="20"/>
              </w:rPr>
            </w:pPr>
            <w:r>
              <w:rPr>
                <w:rFonts w:asciiTheme="minorBidi" w:hAnsiTheme="minorBidi"/>
                <w:sz w:val="20"/>
                <w:szCs w:val="20"/>
              </w:rPr>
              <w:t xml:space="preserve">Organizing pre-disaster meetings / </w:t>
            </w:r>
            <w:r w:rsidR="001D4CD2">
              <w:rPr>
                <w:rFonts w:asciiTheme="minorBidi" w:hAnsiTheme="minorBidi"/>
                <w:sz w:val="20"/>
                <w:szCs w:val="20"/>
              </w:rPr>
              <w:t xml:space="preserve"> </w:t>
            </w:r>
            <w:r w:rsidR="00535DDC">
              <w:rPr>
                <w:rFonts w:asciiTheme="minorBidi" w:hAnsiTheme="minorBidi"/>
                <w:sz w:val="20"/>
                <w:szCs w:val="20"/>
              </w:rPr>
              <w:t>enhancing</w:t>
            </w:r>
            <w:r>
              <w:rPr>
                <w:rFonts w:asciiTheme="minorBidi" w:hAnsiTheme="minorBidi"/>
                <w:sz w:val="20"/>
                <w:szCs w:val="20"/>
              </w:rPr>
              <w:t xml:space="preserve"> joint procedures</w:t>
            </w:r>
          </w:p>
        </w:tc>
        <w:tc>
          <w:tcPr>
            <w:tcW w:w="2442" w:type="dxa"/>
          </w:tcPr>
          <w:p w:rsidR="00B22B9E" w:rsidRPr="00B22B9E" w:rsidRDefault="00AC1E13" w:rsidP="00522C6A">
            <w:pPr>
              <w:rPr>
                <w:rFonts w:asciiTheme="minorBidi" w:hAnsiTheme="minorBidi" w:cstheme="minorBidi"/>
                <w:sz w:val="20"/>
                <w:szCs w:val="20"/>
              </w:rPr>
            </w:pPr>
            <w:r>
              <w:rPr>
                <w:rFonts w:asciiTheme="minorBidi" w:hAnsiTheme="minorBidi" w:cstheme="minorBidi"/>
                <w:sz w:val="20"/>
                <w:szCs w:val="20"/>
              </w:rPr>
              <w:lastRenderedPageBreak/>
              <w:t xml:space="preserve">Starting in </w:t>
            </w:r>
            <w:r w:rsidR="00CE7F08">
              <w:rPr>
                <w:rFonts w:asciiTheme="minorBidi" w:hAnsiTheme="minorBidi" w:cstheme="minorBidi"/>
                <w:sz w:val="20"/>
                <w:szCs w:val="20"/>
              </w:rPr>
              <w:t>2015</w:t>
            </w:r>
          </w:p>
        </w:tc>
        <w:tc>
          <w:tcPr>
            <w:tcW w:w="2401" w:type="dxa"/>
          </w:tcPr>
          <w:p w:rsidR="00B22B9E" w:rsidRPr="00B22B9E" w:rsidRDefault="00B22B9E" w:rsidP="00522C6A">
            <w:pPr>
              <w:rPr>
                <w:rFonts w:asciiTheme="minorBidi" w:hAnsiTheme="minorBidi" w:cstheme="minorBidi"/>
                <w:sz w:val="20"/>
                <w:szCs w:val="20"/>
              </w:rPr>
            </w:pPr>
            <w:r w:rsidRPr="00B22B9E">
              <w:rPr>
                <w:rFonts w:asciiTheme="minorBidi" w:hAnsiTheme="minorBidi" w:cstheme="minorBidi"/>
                <w:sz w:val="20"/>
                <w:szCs w:val="20"/>
              </w:rPr>
              <w:t>AHA Centre</w:t>
            </w:r>
          </w:p>
          <w:p w:rsidR="00B22B9E" w:rsidRPr="00B22B9E" w:rsidRDefault="00B22B9E" w:rsidP="00522C6A">
            <w:pPr>
              <w:rPr>
                <w:rFonts w:asciiTheme="minorBidi" w:hAnsiTheme="minorBidi" w:cstheme="minorBidi"/>
                <w:sz w:val="20"/>
                <w:szCs w:val="20"/>
              </w:rPr>
            </w:pPr>
            <w:r w:rsidRPr="00B22B9E">
              <w:rPr>
                <w:rFonts w:asciiTheme="minorBidi" w:hAnsiTheme="minorBidi" w:cstheme="minorBidi"/>
                <w:sz w:val="20"/>
                <w:szCs w:val="20"/>
              </w:rPr>
              <w:t>IFRC</w:t>
            </w:r>
          </w:p>
          <w:p w:rsidR="00B22B9E" w:rsidRPr="00B22B9E" w:rsidRDefault="00B22B9E" w:rsidP="00522C6A">
            <w:pPr>
              <w:rPr>
                <w:rFonts w:asciiTheme="minorBidi" w:hAnsiTheme="minorBidi" w:cstheme="minorBidi"/>
                <w:sz w:val="20"/>
                <w:szCs w:val="20"/>
              </w:rPr>
            </w:pPr>
            <w:r w:rsidRPr="00B22B9E">
              <w:rPr>
                <w:rFonts w:asciiTheme="minorBidi" w:hAnsiTheme="minorBidi" w:cstheme="minorBidi"/>
                <w:sz w:val="20"/>
                <w:szCs w:val="20"/>
              </w:rPr>
              <w:t>Selected NS</w:t>
            </w:r>
          </w:p>
        </w:tc>
      </w:tr>
      <w:tr w:rsidR="00B22B9E" w:rsidRPr="00CE7F08" w:rsidTr="00522C6A">
        <w:trPr>
          <w:trHeight w:val="373"/>
        </w:trPr>
        <w:tc>
          <w:tcPr>
            <w:tcW w:w="2754" w:type="dxa"/>
          </w:tcPr>
          <w:p w:rsidR="00CE7F08" w:rsidRPr="00CE7F08" w:rsidRDefault="00C44578" w:rsidP="00CE7F08">
            <w:pPr>
              <w:rPr>
                <w:sz w:val="20"/>
                <w:szCs w:val="20"/>
              </w:rPr>
            </w:pPr>
            <w:r>
              <w:rPr>
                <w:sz w:val="20"/>
                <w:szCs w:val="20"/>
              </w:rPr>
              <w:lastRenderedPageBreak/>
              <w:t xml:space="preserve">Enhance compatibility of </w:t>
            </w:r>
            <w:r w:rsidR="00CE7F08" w:rsidRPr="00CE7F08">
              <w:rPr>
                <w:sz w:val="20"/>
                <w:szCs w:val="20"/>
              </w:rPr>
              <w:t>SASOP and RCRC field manual</w:t>
            </w:r>
          </w:p>
          <w:p w:rsidR="00B22B9E" w:rsidRPr="00CE7F08" w:rsidRDefault="00B22B9E" w:rsidP="00522C6A">
            <w:pPr>
              <w:rPr>
                <w:sz w:val="20"/>
                <w:szCs w:val="20"/>
                <w:lang w:val="en-GB"/>
              </w:rPr>
            </w:pPr>
          </w:p>
        </w:tc>
        <w:tc>
          <w:tcPr>
            <w:tcW w:w="2251" w:type="dxa"/>
          </w:tcPr>
          <w:p w:rsidR="00B22B9E" w:rsidRPr="00CE7F08" w:rsidRDefault="00CE7F08" w:rsidP="00CE7F08">
            <w:pPr>
              <w:pStyle w:val="ListParagraph"/>
              <w:numPr>
                <w:ilvl w:val="0"/>
                <w:numId w:val="50"/>
              </w:numPr>
              <w:ind w:left="306" w:hanging="270"/>
              <w:rPr>
                <w:rFonts w:asciiTheme="minorBidi" w:hAnsiTheme="minorBidi"/>
                <w:sz w:val="20"/>
                <w:szCs w:val="20"/>
              </w:rPr>
            </w:pPr>
            <w:r w:rsidRPr="00CE7F08">
              <w:rPr>
                <w:rFonts w:asciiTheme="minorBidi" w:hAnsiTheme="minorBidi"/>
                <w:sz w:val="20"/>
                <w:szCs w:val="20"/>
              </w:rPr>
              <w:t>Invite RCRC representative in any SASOP review process</w:t>
            </w:r>
          </w:p>
          <w:p w:rsidR="00CE7F08" w:rsidRPr="00EF3B47" w:rsidRDefault="00CE7F08" w:rsidP="00CE7F08">
            <w:pPr>
              <w:pStyle w:val="ListParagraph"/>
              <w:numPr>
                <w:ilvl w:val="0"/>
                <w:numId w:val="50"/>
              </w:numPr>
              <w:ind w:left="306" w:hanging="270"/>
              <w:rPr>
                <w:sz w:val="20"/>
                <w:szCs w:val="20"/>
              </w:rPr>
            </w:pPr>
            <w:r w:rsidRPr="00CE7F08">
              <w:rPr>
                <w:rFonts w:asciiTheme="minorBidi" w:hAnsiTheme="minorBidi"/>
                <w:sz w:val="20"/>
                <w:szCs w:val="20"/>
              </w:rPr>
              <w:t>NSs can learn from SASOP when designing their internal field manual</w:t>
            </w:r>
          </w:p>
          <w:p w:rsidR="00ED405B" w:rsidRPr="00EF3B47" w:rsidRDefault="00ED405B" w:rsidP="00EF3B47">
            <w:pPr>
              <w:pStyle w:val="ListParagraph"/>
              <w:numPr>
                <w:ilvl w:val="0"/>
                <w:numId w:val="50"/>
              </w:numPr>
              <w:ind w:left="306" w:hanging="270"/>
              <w:rPr>
                <w:sz w:val="20"/>
                <w:szCs w:val="20"/>
              </w:rPr>
            </w:pPr>
            <w:r w:rsidRPr="00EF3B47">
              <w:rPr>
                <w:rFonts w:asciiTheme="minorBidi" w:hAnsiTheme="minorBidi"/>
                <w:sz w:val="20"/>
                <w:szCs w:val="20"/>
              </w:rPr>
              <w:t>Revised SOP for RDRT could link better with SASOP</w:t>
            </w:r>
          </w:p>
        </w:tc>
        <w:tc>
          <w:tcPr>
            <w:tcW w:w="2442" w:type="dxa"/>
          </w:tcPr>
          <w:p w:rsidR="00B22B9E" w:rsidRPr="00CE7F08" w:rsidRDefault="00CE7F08" w:rsidP="00522C6A">
            <w:pPr>
              <w:rPr>
                <w:sz w:val="20"/>
                <w:szCs w:val="20"/>
              </w:rPr>
            </w:pPr>
            <w:r w:rsidRPr="00CE7F08">
              <w:rPr>
                <w:sz w:val="20"/>
                <w:szCs w:val="20"/>
              </w:rPr>
              <w:t>2015-2017</w:t>
            </w:r>
          </w:p>
        </w:tc>
        <w:tc>
          <w:tcPr>
            <w:tcW w:w="2401" w:type="dxa"/>
          </w:tcPr>
          <w:p w:rsidR="00CE7F08" w:rsidRPr="00CE7F08" w:rsidRDefault="00CE7F08" w:rsidP="00CE7F08">
            <w:pPr>
              <w:rPr>
                <w:rFonts w:asciiTheme="minorBidi" w:hAnsiTheme="minorBidi" w:cstheme="minorBidi"/>
                <w:sz w:val="20"/>
                <w:szCs w:val="20"/>
              </w:rPr>
            </w:pPr>
            <w:r w:rsidRPr="00CE7F08">
              <w:rPr>
                <w:rFonts w:asciiTheme="minorBidi" w:hAnsiTheme="minorBidi" w:cstheme="minorBidi"/>
                <w:sz w:val="20"/>
                <w:szCs w:val="20"/>
              </w:rPr>
              <w:t>AHA Centre</w:t>
            </w:r>
          </w:p>
          <w:p w:rsidR="00CE7F08" w:rsidRPr="00CE7F08" w:rsidRDefault="00CE7F08" w:rsidP="00CE7F08">
            <w:pPr>
              <w:rPr>
                <w:rFonts w:asciiTheme="minorBidi" w:hAnsiTheme="minorBidi" w:cstheme="minorBidi"/>
                <w:sz w:val="20"/>
                <w:szCs w:val="20"/>
              </w:rPr>
            </w:pPr>
            <w:r w:rsidRPr="00CE7F08">
              <w:rPr>
                <w:rFonts w:asciiTheme="minorBidi" w:hAnsiTheme="minorBidi" w:cstheme="minorBidi"/>
                <w:sz w:val="20"/>
                <w:szCs w:val="20"/>
              </w:rPr>
              <w:t>IFRC</w:t>
            </w:r>
          </w:p>
          <w:p w:rsidR="00B22B9E" w:rsidRPr="00CE7F08" w:rsidRDefault="00CE7F08" w:rsidP="00CE7F08">
            <w:pPr>
              <w:rPr>
                <w:sz w:val="20"/>
                <w:szCs w:val="20"/>
              </w:rPr>
            </w:pPr>
            <w:r w:rsidRPr="00CE7F08">
              <w:rPr>
                <w:rFonts w:asciiTheme="minorBidi" w:hAnsiTheme="minorBidi" w:cstheme="minorBidi"/>
                <w:sz w:val="20"/>
                <w:szCs w:val="20"/>
              </w:rPr>
              <w:t>Selected NS</w:t>
            </w:r>
          </w:p>
        </w:tc>
      </w:tr>
      <w:tr w:rsidR="00CE7F08" w:rsidRPr="005D0F36" w:rsidTr="00522C6A">
        <w:trPr>
          <w:trHeight w:val="373"/>
        </w:trPr>
        <w:tc>
          <w:tcPr>
            <w:tcW w:w="2754" w:type="dxa"/>
          </w:tcPr>
          <w:p w:rsidR="00CE7F08" w:rsidRPr="00CE7F08" w:rsidRDefault="001D4CD2" w:rsidP="00C44578">
            <w:pPr>
              <w:rPr>
                <w:rFonts w:asciiTheme="minorBidi" w:hAnsiTheme="minorBidi" w:cstheme="minorBidi"/>
                <w:sz w:val="20"/>
                <w:szCs w:val="20"/>
              </w:rPr>
            </w:pPr>
            <w:r>
              <w:rPr>
                <w:rFonts w:asciiTheme="minorBidi" w:hAnsiTheme="minorBidi" w:cstheme="minorBidi"/>
                <w:sz w:val="20"/>
                <w:szCs w:val="20"/>
              </w:rPr>
              <w:t xml:space="preserve">Discuss </w:t>
            </w:r>
            <w:r w:rsidR="00CE7F08">
              <w:rPr>
                <w:rFonts w:asciiTheme="minorBidi" w:hAnsiTheme="minorBidi" w:cstheme="minorBidi"/>
                <w:sz w:val="20"/>
                <w:szCs w:val="20"/>
              </w:rPr>
              <w:t>procedures in preparation of disasters (logistics, customs, early-warning…)</w:t>
            </w:r>
            <w:r w:rsidR="00C44578">
              <w:rPr>
                <w:rFonts w:asciiTheme="minorBidi" w:hAnsiTheme="minorBidi" w:cstheme="minorBidi"/>
                <w:sz w:val="20"/>
                <w:szCs w:val="20"/>
              </w:rPr>
              <w:t xml:space="preserve"> and undertake joint efforts where possible</w:t>
            </w:r>
          </w:p>
        </w:tc>
        <w:tc>
          <w:tcPr>
            <w:tcW w:w="2251" w:type="dxa"/>
          </w:tcPr>
          <w:p w:rsidR="00CE7F08" w:rsidRPr="00CE7F08" w:rsidRDefault="00C03987" w:rsidP="00C03987">
            <w:pPr>
              <w:pStyle w:val="ListParagraph"/>
              <w:ind w:left="126"/>
              <w:rPr>
                <w:rFonts w:asciiTheme="minorBidi" w:hAnsiTheme="minorBidi"/>
                <w:sz w:val="20"/>
                <w:szCs w:val="20"/>
              </w:rPr>
            </w:pPr>
            <w:r>
              <w:rPr>
                <w:rFonts w:asciiTheme="minorBidi" w:hAnsiTheme="minorBidi"/>
                <w:sz w:val="20"/>
                <w:szCs w:val="20"/>
              </w:rPr>
              <w:t>Reflect on recent experience such as Ha</w:t>
            </w:r>
            <w:r w:rsidR="00535DDC">
              <w:rPr>
                <w:rFonts w:asciiTheme="minorBidi" w:hAnsiTheme="minorBidi"/>
                <w:sz w:val="20"/>
                <w:szCs w:val="20"/>
              </w:rPr>
              <w:t>iyan</w:t>
            </w:r>
            <w:r>
              <w:rPr>
                <w:rFonts w:asciiTheme="minorBidi" w:hAnsiTheme="minorBidi"/>
                <w:sz w:val="20"/>
                <w:szCs w:val="20"/>
              </w:rPr>
              <w:t xml:space="preserve"> response</w:t>
            </w:r>
          </w:p>
        </w:tc>
        <w:tc>
          <w:tcPr>
            <w:tcW w:w="2442" w:type="dxa"/>
          </w:tcPr>
          <w:p w:rsidR="00CE7F08" w:rsidRPr="00CE7F08" w:rsidRDefault="00CE7F08" w:rsidP="00522C6A">
            <w:pPr>
              <w:rPr>
                <w:rFonts w:asciiTheme="minorBidi" w:hAnsiTheme="minorBidi" w:cstheme="minorBidi"/>
                <w:sz w:val="20"/>
                <w:szCs w:val="20"/>
              </w:rPr>
            </w:pPr>
            <w:r>
              <w:rPr>
                <w:rFonts w:asciiTheme="minorBidi" w:hAnsiTheme="minorBidi" w:cstheme="minorBidi"/>
                <w:sz w:val="20"/>
                <w:szCs w:val="20"/>
              </w:rPr>
              <w:t>2015-2017</w:t>
            </w:r>
          </w:p>
        </w:tc>
        <w:tc>
          <w:tcPr>
            <w:tcW w:w="2401" w:type="dxa"/>
          </w:tcPr>
          <w:p w:rsidR="00CE7F08" w:rsidRPr="00CE7F08" w:rsidRDefault="00CE7F08" w:rsidP="00CE7F08">
            <w:pPr>
              <w:rPr>
                <w:rFonts w:asciiTheme="minorBidi" w:hAnsiTheme="minorBidi" w:cstheme="minorBidi"/>
                <w:sz w:val="20"/>
                <w:szCs w:val="20"/>
                <w:lang w:val="fr-FR"/>
              </w:rPr>
            </w:pPr>
            <w:r w:rsidRPr="00CE7F08">
              <w:rPr>
                <w:rFonts w:asciiTheme="minorBidi" w:hAnsiTheme="minorBidi" w:cstheme="minorBidi"/>
                <w:sz w:val="20"/>
                <w:szCs w:val="20"/>
                <w:lang w:val="fr-FR"/>
              </w:rPr>
              <w:t>AHA Centre</w:t>
            </w:r>
          </w:p>
          <w:p w:rsidR="00CE7F08" w:rsidRPr="00CE7F08" w:rsidRDefault="00CE7F08" w:rsidP="00CE7F08">
            <w:pPr>
              <w:rPr>
                <w:rFonts w:asciiTheme="minorBidi" w:hAnsiTheme="minorBidi" w:cstheme="minorBidi"/>
                <w:sz w:val="20"/>
                <w:szCs w:val="20"/>
                <w:lang w:val="fr-FR"/>
              </w:rPr>
            </w:pPr>
            <w:r w:rsidRPr="00CE7F08">
              <w:rPr>
                <w:rFonts w:asciiTheme="minorBidi" w:hAnsiTheme="minorBidi" w:cstheme="minorBidi"/>
                <w:sz w:val="20"/>
                <w:szCs w:val="20"/>
                <w:lang w:val="fr-FR"/>
              </w:rPr>
              <w:t>IFRC / KL Zone office</w:t>
            </w:r>
          </w:p>
        </w:tc>
      </w:tr>
      <w:tr w:rsidR="00CE7F08" w:rsidTr="00522C6A">
        <w:trPr>
          <w:trHeight w:val="373"/>
        </w:trPr>
        <w:tc>
          <w:tcPr>
            <w:tcW w:w="2754" w:type="dxa"/>
          </w:tcPr>
          <w:p w:rsidR="00CE7F08" w:rsidRDefault="001D4CD2" w:rsidP="002445A4">
            <w:pPr>
              <w:rPr>
                <w:rFonts w:asciiTheme="minorBidi" w:hAnsiTheme="minorBidi" w:cstheme="minorBidi"/>
                <w:sz w:val="20"/>
                <w:szCs w:val="20"/>
              </w:rPr>
            </w:pPr>
            <w:r>
              <w:rPr>
                <w:rFonts w:asciiTheme="minorBidi" w:hAnsiTheme="minorBidi" w:cstheme="minorBidi"/>
                <w:sz w:val="20"/>
                <w:szCs w:val="20"/>
              </w:rPr>
              <w:t xml:space="preserve">Identify IDRL-related operational challenges </w:t>
            </w:r>
            <w:r w:rsidR="002445A4">
              <w:rPr>
                <w:rFonts w:asciiTheme="minorBidi" w:hAnsiTheme="minorBidi" w:cstheme="minorBidi"/>
                <w:sz w:val="20"/>
                <w:szCs w:val="20"/>
              </w:rPr>
              <w:t xml:space="preserve">to support </w:t>
            </w:r>
            <w:r>
              <w:rPr>
                <w:rFonts w:asciiTheme="minorBidi" w:hAnsiTheme="minorBidi" w:cstheme="minorBidi"/>
                <w:sz w:val="20"/>
                <w:szCs w:val="20"/>
              </w:rPr>
              <w:t xml:space="preserve">RCRC advocacy </w:t>
            </w:r>
            <w:r w:rsidR="00CE7F08">
              <w:rPr>
                <w:rFonts w:asciiTheme="minorBidi" w:hAnsiTheme="minorBidi" w:cstheme="minorBidi"/>
                <w:sz w:val="20"/>
                <w:szCs w:val="20"/>
              </w:rPr>
              <w:t>for improved disaster laws in the region</w:t>
            </w:r>
          </w:p>
        </w:tc>
        <w:tc>
          <w:tcPr>
            <w:tcW w:w="2251" w:type="dxa"/>
          </w:tcPr>
          <w:p w:rsidR="00CE7F08" w:rsidRDefault="001B5B5F" w:rsidP="001B5B5F">
            <w:pPr>
              <w:pStyle w:val="ListParagraph"/>
              <w:numPr>
                <w:ilvl w:val="0"/>
                <w:numId w:val="50"/>
              </w:numPr>
              <w:ind w:left="306" w:hanging="270"/>
              <w:rPr>
                <w:rFonts w:asciiTheme="minorBidi" w:hAnsiTheme="minorBidi"/>
                <w:sz w:val="20"/>
                <w:szCs w:val="20"/>
              </w:rPr>
            </w:pPr>
            <w:r>
              <w:rPr>
                <w:rFonts w:asciiTheme="minorBidi" w:hAnsiTheme="minorBidi"/>
                <w:sz w:val="20"/>
                <w:szCs w:val="20"/>
              </w:rPr>
              <w:t>Share information on Disaster Law / IDRL issues</w:t>
            </w:r>
          </w:p>
          <w:p w:rsidR="00CF2737" w:rsidRDefault="00CF2737" w:rsidP="001B5B5F">
            <w:pPr>
              <w:pStyle w:val="ListParagraph"/>
              <w:numPr>
                <w:ilvl w:val="0"/>
                <w:numId w:val="50"/>
              </w:numPr>
              <w:ind w:left="306" w:hanging="270"/>
              <w:rPr>
                <w:rFonts w:asciiTheme="minorBidi" w:hAnsiTheme="minorBidi"/>
                <w:sz w:val="20"/>
                <w:szCs w:val="20"/>
              </w:rPr>
            </w:pPr>
            <w:r>
              <w:rPr>
                <w:rFonts w:asciiTheme="minorBidi" w:hAnsiTheme="minorBidi"/>
                <w:sz w:val="20"/>
                <w:szCs w:val="20"/>
              </w:rPr>
              <w:t xml:space="preserve">Highlight / test IDRL issues at simulation exercises </w:t>
            </w:r>
          </w:p>
          <w:p w:rsidR="001B5B5F" w:rsidRDefault="001B5B5F" w:rsidP="001B5B5F">
            <w:pPr>
              <w:pStyle w:val="ListParagraph"/>
              <w:numPr>
                <w:ilvl w:val="0"/>
                <w:numId w:val="50"/>
              </w:numPr>
              <w:ind w:left="306" w:hanging="270"/>
              <w:rPr>
                <w:rFonts w:asciiTheme="minorBidi" w:hAnsiTheme="minorBidi"/>
                <w:sz w:val="20"/>
                <w:szCs w:val="20"/>
              </w:rPr>
            </w:pPr>
            <w:r>
              <w:rPr>
                <w:rFonts w:asciiTheme="minorBidi" w:hAnsiTheme="minorBidi"/>
                <w:sz w:val="20"/>
                <w:szCs w:val="20"/>
              </w:rPr>
              <w:t>IFRC to invite AHA Centre at a regional Disaster Law training</w:t>
            </w:r>
          </w:p>
          <w:p w:rsidR="000A746C" w:rsidRPr="00CE7F08" w:rsidRDefault="000A746C" w:rsidP="00535DDC">
            <w:pPr>
              <w:pStyle w:val="ListParagraph"/>
              <w:numPr>
                <w:ilvl w:val="0"/>
                <w:numId w:val="50"/>
              </w:numPr>
              <w:ind w:left="306" w:hanging="270"/>
              <w:rPr>
                <w:rFonts w:asciiTheme="minorBidi" w:hAnsiTheme="minorBidi"/>
                <w:sz w:val="20"/>
                <w:szCs w:val="20"/>
              </w:rPr>
            </w:pPr>
            <w:r>
              <w:rPr>
                <w:rFonts w:asciiTheme="minorBidi" w:hAnsiTheme="minorBidi"/>
                <w:sz w:val="20"/>
                <w:szCs w:val="20"/>
              </w:rPr>
              <w:t>IFRC</w:t>
            </w:r>
            <w:r w:rsidR="002445A4">
              <w:rPr>
                <w:rFonts w:asciiTheme="minorBidi" w:hAnsiTheme="minorBidi"/>
                <w:sz w:val="20"/>
                <w:szCs w:val="20"/>
              </w:rPr>
              <w:t xml:space="preserve"> and AHA Centre jointly promote</w:t>
            </w:r>
            <w:r>
              <w:rPr>
                <w:rFonts w:asciiTheme="minorBidi" w:hAnsiTheme="minorBidi"/>
                <w:sz w:val="20"/>
                <w:szCs w:val="20"/>
              </w:rPr>
              <w:t xml:space="preserve"> Disaster Law development</w:t>
            </w:r>
            <w:r w:rsidR="00CF2737">
              <w:rPr>
                <w:rFonts w:asciiTheme="minorBidi" w:hAnsiTheme="minorBidi"/>
                <w:sz w:val="20"/>
                <w:szCs w:val="20"/>
              </w:rPr>
              <w:t xml:space="preserve"> and effective implementation of AADMER</w:t>
            </w:r>
          </w:p>
        </w:tc>
        <w:tc>
          <w:tcPr>
            <w:tcW w:w="2442" w:type="dxa"/>
          </w:tcPr>
          <w:p w:rsidR="00CE7F08" w:rsidRDefault="001B5B5F" w:rsidP="00522C6A">
            <w:pPr>
              <w:rPr>
                <w:rFonts w:asciiTheme="minorBidi" w:hAnsiTheme="minorBidi" w:cstheme="minorBidi"/>
                <w:sz w:val="20"/>
                <w:szCs w:val="20"/>
              </w:rPr>
            </w:pPr>
            <w:r>
              <w:rPr>
                <w:rFonts w:asciiTheme="minorBidi" w:hAnsiTheme="minorBidi" w:cstheme="minorBidi"/>
                <w:sz w:val="20"/>
                <w:szCs w:val="20"/>
              </w:rPr>
              <w:t>Ongoing</w:t>
            </w:r>
          </w:p>
          <w:p w:rsidR="001B5B5F" w:rsidRDefault="001B5B5F" w:rsidP="00522C6A">
            <w:pPr>
              <w:rPr>
                <w:rFonts w:asciiTheme="minorBidi" w:hAnsiTheme="minorBidi" w:cstheme="minorBidi"/>
                <w:sz w:val="20"/>
                <w:szCs w:val="20"/>
              </w:rPr>
            </w:pPr>
          </w:p>
          <w:p w:rsidR="001B5B5F" w:rsidRPr="00CE7F08" w:rsidRDefault="001B5B5F" w:rsidP="00522C6A">
            <w:pPr>
              <w:rPr>
                <w:rFonts w:asciiTheme="minorBidi" w:hAnsiTheme="minorBidi" w:cstheme="minorBidi"/>
                <w:sz w:val="20"/>
                <w:szCs w:val="20"/>
              </w:rPr>
            </w:pPr>
            <w:r>
              <w:rPr>
                <w:rFonts w:asciiTheme="minorBidi" w:hAnsiTheme="minorBidi" w:cstheme="minorBidi"/>
                <w:sz w:val="20"/>
                <w:szCs w:val="20"/>
              </w:rPr>
              <w:t>2015 (second quarter)</w:t>
            </w:r>
          </w:p>
        </w:tc>
        <w:tc>
          <w:tcPr>
            <w:tcW w:w="2401" w:type="dxa"/>
          </w:tcPr>
          <w:p w:rsidR="00CE7F08" w:rsidRDefault="00CE7F08" w:rsidP="00CE7F08">
            <w:pPr>
              <w:rPr>
                <w:rFonts w:asciiTheme="minorBidi" w:hAnsiTheme="minorBidi" w:cstheme="minorBidi"/>
                <w:sz w:val="20"/>
                <w:szCs w:val="20"/>
              </w:rPr>
            </w:pPr>
            <w:r>
              <w:rPr>
                <w:rFonts w:asciiTheme="minorBidi" w:hAnsiTheme="minorBidi" w:cstheme="minorBidi"/>
                <w:sz w:val="20"/>
                <w:szCs w:val="20"/>
              </w:rPr>
              <w:t>AHA Centre</w:t>
            </w:r>
          </w:p>
          <w:p w:rsidR="00CE7F08" w:rsidRDefault="00CE7F08" w:rsidP="00CE7F08">
            <w:pPr>
              <w:rPr>
                <w:rFonts w:asciiTheme="minorBidi" w:hAnsiTheme="minorBidi" w:cstheme="minorBidi"/>
                <w:sz w:val="20"/>
                <w:szCs w:val="20"/>
              </w:rPr>
            </w:pPr>
            <w:r>
              <w:rPr>
                <w:rFonts w:asciiTheme="minorBidi" w:hAnsiTheme="minorBidi" w:cstheme="minorBidi"/>
                <w:sz w:val="20"/>
                <w:szCs w:val="20"/>
              </w:rPr>
              <w:t>IFRC Regional Delegation Bangkok</w:t>
            </w:r>
          </w:p>
          <w:p w:rsidR="00CE7F08" w:rsidRPr="00CE7F08" w:rsidRDefault="00CE7F08" w:rsidP="00CE7F08">
            <w:pPr>
              <w:rPr>
                <w:rFonts w:asciiTheme="minorBidi" w:hAnsiTheme="minorBidi" w:cstheme="minorBidi"/>
                <w:sz w:val="20"/>
                <w:szCs w:val="20"/>
              </w:rPr>
            </w:pPr>
          </w:p>
        </w:tc>
      </w:tr>
    </w:tbl>
    <w:p w:rsidR="001707BC" w:rsidRPr="00D830C5" w:rsidRDefault="001707BC" w:rsidP="00D830C5">
      <w:pPr>
        <w:rPr>
          <w:lang w:val="en-GB"/>
        </w:rPr>
      </w:pPr>
    </w:p>
    <w:p w:rsidR="00D830C5" w:rsidRPr="00D830C5" w:rsidRDefault="00D830C5" w:rsidP="00D830C5">
      <w:pPr>
        <w:pStyle w:val="Heading1"/>
        <w:rPr>
          <w:lang w:val="en-GB"/>
        </w:rPr>
      </w:pPr>
      <w:r>
        <w:rPr>
          <w:lang w:val="en-GB"/>
        </w:rPr>
        <w:t>3/ Learning from each other</w:t>
      </w:r>
    </w:p>
    <w:p w:rsidR="00CE7F08" w:rsidRDefault="00CE7F08" w:rsidP="00CE7F08">
      <w:pPr>
        <w:rPr>
          <w:rFonts w:asciiTheme="minorHAnsi" w:eastAsiaTheme="minorHAnsi" w:hAnsiTheme="minorHAnsi" w:cstheme="minorBidi"/>
          <w:szCs w:val="22"/>
          <w:lang w:val="en-GB"/>
        </w:rPr>
      </w:pPr>
    </w:p>
    <w:tbl>
      <w:tblPr>
        <w:tblStyle w:val="TableGrid"/>
        <w:tblW w:w="0" w:type="auto"/>
        <w:tblLook w:val="04A0" w:firstRow="1" w:lastRow="0" w:firstColumn="1" w:lastColumn="0" w:noHBand="0" w:noVBand="1"/>
      </w:tblPr>
      <w:tblGrid>
        <w:gridCol w:w="2754"/>
        <w:gridCol w:w="2251"/>
        <w:gridCol w:w="2442"/>
        <w:gridCol w:w="2401"/>
      </w:tblGrid>
      <w:tr w:rsidR="00CE7F08" w:rsidRPr="00B22B9E" w:rsidTr="00522C6A">
        <w:trPr>
          <w:trHeight w:val="373"/>
        </w:trPr>
        <w:tc>
          <w:tcPr>
            <w:tcW w:w="2754" w:type="dxa"/>
            <w:shd w:val="clear" w:color="auto" w:fill="D9D9D9" w:themeFill="background1" w:themeFillShade="D9"/>
          </w:tcPr>
          <w:p w:rsidR="00CE7F08" w:rsidRPr="00B22B9E" w:rsidRDefault="00CE7F08" w:rsidP="00522C6A">
            <w:pPr>
              <w:rPr>
                <w:sz w:val="20"/>
                <w:szCs w:val="20"/>
              </w:rPr>
            </w:pPr>
            <w:r w:rsidRPr="00B22B9E">
              <w:rPr>
                <w:sz w:val="20"/>
                <w:szCs w:val="20"/>
              </w:rPr>
              <w:t>What</w:t>
            </w:r>
          </w:p>
        </w:tc>
        <w:tc>
          <w:tcPr>
            <w:tcW w:w="2251" w:type="dxa"/>
            <w:shd w:val="clear" w:color="auto" w:fill="D9D9D9" w:themeFill="background1" w:themeFillShade="D9"/>
          </w:tcPr>
          <w:p w:rsidR="00CE7F08" w:rsidRPr="00B22B9E" w:rsidRDefault="00CE7F08" w:rsidP="00522C6A">
            <w:pPr>
              <w:rPr>
                <w:sz w:val="20"/>
                <w:szCs w:val="20"/>
              </w:rPr>
            </w:pPr>
            <w:r w:rsidRPr="00B22B9E">
              <w:rPr>
                <w:sz w:val="20"/>
                <w:szCs w:val="20"/>
              </w:rPr>
              <w:t>How</w:t>
            </w:r>
          </w:p>
        </w:tc>
        <w:tc>
          <w:tcPr>
            <w:tcW w:w="2442" w:type="dxa"/>
            <w:shd w:val="clear" w:color="auto" w:fill="D9D9D9" w:themeFill="background1" w:themeFillShade="D9"/>
          </w:tcPr>
          <w:p w:rsidR="00CE7F08" w:rsidRPr="00B22B9E" w:rsidRDefault="00CE7F08" w:rsidP="00522C6A">
            <w:pPr>
              <w:rPr>
                <w:sz w:val="20"/>
                <w:szCs w:val="20"/>
              </w:rPr>
            </w:pPr>
            <w:r w:rsidRPr="00B22B9E">
              <w:rPr>
                <w:sz w:val="20"/>
                <w:szCs w:val="20"/>
              </w:rPr>
              <w:t>When</w:t>
            </w:r>
          </w:p>
        </w:tc>
        <w:tc>
          <w:tcPr>
            <w:tcW w:w="2401" w:type="dxa"/>
            <w:shd w:val="clear" w:color="auto" w:fill="D9D9D9" w:themeFill="background1" w:themeFillShade="D9"/>
          </w:tcPr>
          <w:p w:rsidR="00CE7F08" w:rsidRPr="00B22B9E" w:rsidRDefault="00CE7F08" w:rsidP="00522C6A">
            <w:pPr>
              <w:rPr>
                <w:sz w:val="20"/>
                <w:szCs w:val="20"/>
              </w:rPr>
            </w:pPr>
            <w:r w:rsidRPr="00B22B9E">
              <w:rPr>
                <w:sz w:val="20"/>
                <w:szCs w:val="20"/>
              </w:rPr>
              <w:t>Who</w:t>
            </w:r>
          </w:p>
        </w:tc>
      </w:tr>
      <w:tr w:rsidR="00CE7F08" w:rsidRPr="00B22B9E" w:rsidTr="00522C6A">
        <w:trPr>
          <w:trHeight w:val="373"/>
        </w:trPr>
        <w:tc>
          <w:tcPr>
            <w:tcW w:w="2754" w:type="dxa"/>
          </w:tcPr>
          <w:p w:rsidR="00CE7F08" w:rsidRDefault="00CE7F08" w:rsidP="00522C6A">
            <w:pPr>
              <w:rPr>
                <w:rFonts w:asciiTheme="minorBidi" w:hAnsiTheme="minorBidi" w:cstheme="minorBidi"/>
                <w:sz w:val="20"/>
                <w:szCs w:val="20"/>
              </w:rPr>
            </w:pPr>
            <w:r>
              <w:rPr>
                <w:rFonts w:asciiTheme="minorBidi" w:hAnsiTheme="minorBidi" w:cstheme="minorBidi"/>
                <w:sz w:val="20"/>
                <w:szCs w:val="20"/>
              </w:rPr>
              <w:t xml:space="preserve">RCRC to participate actively </w:t>
            </w:r>
            <w:r>
              <w:rPr>
                <w:rFonts w:asciiTheme="minorBidi" w:hAnsiTheme="minorBidi" w:cstheme="minorBidi"/>
                <w:sz w:val="20"/>
                <w:szCs w:val="20"/>
              </w:rPr>
              <w:lastRenderedPageBreak/>
              <w:t>in simulation exercises</w:t>
            </w:r>
          </w:p>
          <w:p w:rsidR="00CE7F08" w:rsidRPr="00B22B9E" w:rsidRDefault="00CE7F08" w:rsidP="00522C6A">
            <w:pPr>
              <w:rPr>
                <w:rFonts w:asciiTheme="minorBidi" w:hAnsiTheme="minorBidi" w:cstheme="minorBidi"/>
                <w:sz w:val="20"/>
                <w:szCs w:val="20"/>
              </w:rPr>
            </w:pPr>
          </w:p>
        </w:tc>
        <w:tc>
          <w:tcPr>
            <w:tcW w:w="2251" w:type="dxa"/>
          </w:tcPr>
          <w:p w:rsidR="00CE7F08" w:rsidRPr="00CE7F08" w:rsidRDefault="00CE7F08" w:rsidP="00F3238E">
            <w:pPr>
              <w:rPr>
                <w:rFonts w:asciiTheme="minorBidi" w:hAnsiTheme="minorBidi"/>
                <w:sz w:val="20"/>
                <w:szCs w:val="20"/>
              </w:rPr>
            </w:pPr>
            <w:r>
              <w:rPr>
                <w:rFonts w:asciiTheme="minorBidi" w:hAnsiTheme="minorBidi"/>
                <w:sz w:val="20"/>
                <w:szCs w:val="20"/>
              </w:rPr>
              <w:lastRenderedPageBreak/>
              <w:t xml:space="preserve">AHA Centre will </w:t>
            </w:r>
            <w:r>
              <w:rPr>
                <w:rFonts w:asciiTheme="minorBidi" w:hAnsiTheme="minorBidi"/>
                <w:sz w:val="20"/>
                <w:szCs w:val="20"/>
              </w:rPr>
              <w:lastRenderedPageBreak/>
              <w:t xml:space="preserve">ensure NSs and IFRC </w:t>
            </w:r>
            <w:r w:rsidR="00F3238E">
              <w:rPr>
                <w:rFonts w:asciiTheme="minorBidi" w:hAnsiTheme="minorBidi"/>
                <w:sz w:val="20"/>
                <w:szCs w:val="20"/>
              </w:rPr>
              <w:t xml:space="preserve">are </w:t>
            </w:r>
            <w:r>
              <w:rPr>
                <w:rFonts w:asciiTheme="minorBidi" w:hAnsiTheme="minorBidi"/>
                <w:sz w:val="20"/>
                <w:szCs w:val="20"/>
              </w:rPr>
              <w:t>invited in the preparatory meetings as well</w:t>
            </w:r>
          </w:p>
        </w:tc>
        <w:tc>
          <w:tcPr>
            <w:tcW w:w="2442" w:type="dxa"/>
          </w:tcPr>
          <w:p w:rsidR="00CE7F08" w:rsidRPr="00B22B9E" w:rsidRDefault="0011063A" w:rsidP="00522C6A">
            <w:pPr>
              <w:rPr>
                <w:rFonts w:asciiTheme="minorBidi" w:hAnsiTheme="minorBidi" w:cstheme="minorBidi"/>
                <w:sz w:val="20"/>
                <w:szCs w:val="20"/>
              </w:rPr>
            </w:pPr>
            <w:r>
              <w:rPr>
                <w:rFonts w:asciiTheme="minorBidi" w:hAnsiTheme="minorBidi" w:cstheme="minorBidi"/>
                <w:sz w:val="20"/>
                <w:szCs w:val="20"/>
              </w:rPr>
              <w:lastRenderedPageBreak/>
              <w:t>ongoing</w:t>
            </w:r>
          </w:p>
        </w:tc>
        <w:tc>
          <w:tcPr>
            <w:tcW w:w="2401" w:type="dxa"/>
          </w:tcPr>
          <w:p w:rsidR="00CE7F08" w:rsidRDefault="0011063A" w:rsidP="00522C6A">
            <w:pPr>
              <w:rPr>
                <w:rFonts w:asciiTheme="minorBidi" w:hAnsiTheme="minorBidi" w:cstheme="minorBidi"/>
                <w:sz w:val="20"/>
                <w:szCs w:val="20"/>
              </w:rPr>
            </w:pPr>
            <w:r>
              <w:rPr>
                <w:rFonts w:asciiTheme="minorBidi" w:hAnsiTheme="minorBidi" w:cstheme="minorBidi"/>
                <w:sz w:val="20"/>
                <w:szCs w:val="20"/>
              </w:rPr>
              <w:t>AHA Centre</w:t>
            </w:r>
          </w:p>
          <w:p w:rsidR="0011063A" w:rsidRPr="00B22B9E" w:rsidRDefault="0011063A" w:rsidP="00522C6A">
            <w:pPr>
              <w:rPr>
                <w:rFonts w:asciiTheme="minorBidi" w:hAnsiTheme="minorBidi" w:cstheme="minorBidi"/>
                <w:sz w:val="20"/>
                <w:szCs w:val="20"/>
              </w:rPr>
            </w:pPr>
            <w:r>
              <w:rPr>
                <w:rFonts w:asciiTheme="minorBidi" w:hAnsiTheme="minorBidi" w:cstheme="minorBidi"/>
                <w:sz w:val="20"/>
                <w:szCs w:val="20"/>
              </w:rPr>
              <w:lastRenderedPageBreak/>
              <w:t>IFRC</w:t>
            </w:r>
            <w:r>
              <w:rPr>
                <w:rFonts w:asciiTheme="minorBidi" w:hAnsiTheme="minorBidi" w:cstheme="minorBidi"/>
                <w:sz w:val="20"/>
                <w:szCs w:val="20"/>
              </w:rPr>
              <w:br/>
              <w:t>NS</w:t>
            </w:r>
          </w:p>
        </w:tc>
      </w:tr>
      <w:tr w:rsidR="0011063A" w:rsidRPr="00B22B9E" w:rsidTr="00522C6A">
        <w:trPr>
          <w:trHeight w:val="373"/>
        </w:trPr>
        <w:tc>
          <w:tcPr>
            <w:tcW w:w="2754" w:type="dxa"/>
          </w:tcPr>
          <w:p w:rsidR="0011063A" w:rsidRDefault="0011063A" w:rsidP="00AC1E13">
            <w:pPr>
              <w:rPr>
                <w:rFonts w:asciiTheme="minorBidi" w:hAnsiTheme="minorBidi" w:cstheme="minorBidi"/>
                <w:sz w:val="20"/>
                <w:szCs w:val="20"/>
              </w:rPr>
            </w:pPr>
            <w:r>
              <w:rPr>
                <w:rFonts w:asciiTheme="minorBidi" w:hAnsiTheme="minorBidi" w:cstheme="minorBidi"/>
                <w:sz w:val="20"/>
                <w:szCs w:val="20"/>
              </w:rPr>
              <w:lastRenderedPageBreak/>
              <w:t xml:space="preserve">IFRC and PMI </w:t>
            </w:r>
            <w:r w:rsidR="00AC1E13">
              <w:rPr>
                <w:rFonts w:asciiTheme="minorBidi" w:hAnsiTheme="minorBidi" w:cstheme="minorBidi"/>
                <w:sz w:val="20"/>
                <w:szCs w:val="20"/>
              </w:rPr>
              <w:t>to</w:t>
            </w:r>
            <w:r>
              <w:rPr>
                <w:rFonts w:asciiTheme="minorBidi" w:hAnsiTheme="minorBidi" w:cstheme="minorBidi"/>
                <w:sz w:val="20"/>
                <w:szCs w:val="20"/>
              </w:rPr>
              <w:t xml:space="preserve"> provide expertise to the 2015 edition of the ACE Programme</w:t>
            </w:r>
          </w:p>
        </w:tc>
        <w:tc>
          <w:tcPr>
            <w:tcW w:w="2251" w:type="dxa"/>
          </w:tcPr>
          <w:p w:rsidR="0011063A" w:rsidRDefault="0011063A" w:rsidP="0011063A">
            <w:pPr>
              <w:rPr>
                <w:rFonts w:asciiTheme="minorBidi" w:hAnsiTheme="minorBidi"/>
                <w:sz w:val="20"/>
                <w:szCs w:val="20"/>
              </w:rPr>
            </w:pPr>
            <w:r>
              <w:rPr>
                <w:rFonts w:asciiTheme="minorBidi" w:hAnsiTheme="minorBidi"/>
                <w:sz w:val="20"/>
                <w:szCs w:val="20"/>
              </w:rPr>
              <w:t xml:space="preserve">IFRC and PMI will facilitate a week-long session in Indonesia and technical sessions in Malaysia </w:t>
            </w:r>
          </w:p>
        </w:tc>
        <w:tc>
          <w:tcPr>
            <w:tcW w:w="2442" w:type="dxa"/>
          </w:tcPr>
          <w:p w:rsidR="0011063A" w:rsidRDefault="00AC7CBE" w:rsidP="00AC1E13">
            <w:pPr>
              <w:rPr>
                <w:rFonts w:asciiTheme="minorBidi" w:hAnsiTheme="minorBidi" w:cstheme="minorBidi"/>
                <w:sz w:val="20"/>
                <w:szCs w:val="20"/>
              </w:rPr>
            </w:pPr>
            <w:r>
              <w:rPr>
                <w:rFonts w:asciiTheme="minorBidi" w:hAnsiTheme="minorBidi" w:cstheme="minorBidi"/>
                <w:sz w:val="20"/>
                <w:szCs w:val="20"/>
              </w:rPr>
              <w:t>2015 (</w:t>
            </w:r>
            <w:r w:rsidR="00AC1E13">
              <w:rPr>
                <w:rFonts w:asciiTheme="minorBidi" w:hAnsiTheme="minorBidi" w:cstheme="minorBidi"/>
                <w:sz w:val="20"/>
                <w:szCs w:val="20"/>
              </w:rPr>
              <w:t xml:space="preserve">April/May in Indonesia and </w:t>
            </w:r>
            <w:r>
              <w:rPr>
                <w:rFonts w:asciiTheme="minorBidi" w:hAnsiTheme="minorBidi" w:cstheme="minorBidi"/>
                <w:sz w:val="20"/>
                <w:szCs w:val="20"/>
              </w:rPr>
              <w:t>June</w:t>
            </w:r>
            <w:r w:rsidR="00AC1E13">
              <w:rPr>
                <w:rFonts w:asciiTheme="minorBidi" w:hAnsiTheme="minorBidi" w:cstheme="minorBidi"/>
                <w:sz w:val="20"/>
                <w:szCs w:val="20"/>
              </w:rPr>
              <w:t xml:space="preserve"> in Malaysia</w:t>
            </w:r>
            <w:r>
              <w:rPr>
                <w:rFonts w:asciiTheme="minorBidi" w:hAnsiTheme="minorBidi" w:cstheme="minorBidi"/>
                <w:sz w:val="20"/>
                <w:szCs w:val="20"/>
              </w:rPr>
              <w:t>)</w:t>
            </w:r>
          </w:p>
        </w:tc>
        <w:tc>
          <w:tcPr>
            <w:tcW w:w="2401" w:type="dxa"/>
          </w:tcPr>
          <w:p w:rsidR="0011063A" w:rsidRDefault="00AC7CBE" w:rsidP="00522C6A">
            <w:pPr>
              <w:rPr>
                <w:rFonts w:asciiTheme="minorBidi" w:hAnsiTheme="minorBidi" w:cstheme="minorBidi"/>
                <w:sz w:val="20"/>
                <w:szCs w:val="20"/>
              </w:rPr>
            </w:pPr>
            <w:r>
              <w:rPr>
                <w:rFonts w:asciiTheme="minorBidi" w:hAnsiTheme="minorBidi" w:cstheme="minorBidi"/>
                <w:sz w:val="20"/>
                <w:szCs w:val="20"/>
              </w:rPr>
              <w:t>AHA Centre</w:t>
            </w:r>
          </w:p>
          <w:p w:rsidR="00AC7CBE" w:rsidRDefault="00AC7CBE" w:rsidP="00AC7CBE">
            <w:pPr>
              <w:rPr>
                <w:rFonts w:asciiTheme="minorBidi" w:hAnsiTheme="minorBidi" w:cstheme="minorBidi"/>
                <w:sz w:val="20"/>
                <w:szCs w:val="20"/>
              </w:rPr>
            </w:pPr>
            <w:r>
              <w:rPr>
                <w:rFonts w:asciiTheme="minorBidi" w:hAnsiTheme="minorBidi" w:cstheme="minorBidi"/>
                <w:sz w:val="20"/>
                <w:szCs w:val="20"/>
              </w:rPr>
              <w:t>IFRC</w:t>
            </w:r>
          </w:p>
          <w:p w:rsidR="00AC7CBE" w:rsidRDefault="00AC7CBE" w:rsidP="00AC7CBE">
            <w:pPr>
              <w:rPr>
                <w:rFonts w:asciiTheme="minorBidi" w:hAnsiTheme="minorBidi" w:cstheme="minorBidi"/>
                <w:sz w:val="20"/>
                <w:szCs w:val="20"/>
              </w:rPr>
            </w:pPr>
            <w:r>
              <w:rPr>
                <w:rFonts w:asciiTheme="minorBidi" w:hAnsiTheme="minorBidi" w:cstheme="minorBidi"/>
                <w:sz w:val="20"/>
                <w:szCs w:val="20"/>
              </w:rPr>
              <w:t>PMI</w:t>
            </w:r>
          </w:p>
        </w:tc>
      </w:tr>
      <w:tr w:rsidR="00AC1E13" w:rsidRPr="00B22B9E" w:rsidTr="00522C6A">
        <w:trPr>
          <w:trHeight w:val="373"/>
        </w:trPr>
        <w:tc>
          <w:tcPr>
            <w:tcW w:w="2754" w:type="dxa"/>
          </w:tcPr>
          <w:p w:rsidR="00AC1E13" w:rsidRDefault="00AC1E13" w:rsidP="00522C6A">
            <w:pPr>
              <w:rPr>
                <w:rFonts w:asciiTheme="minorBidi" w:hAnsiTheme="minorBidi" w:cstheme="minorBidi"/>
                <w:sz w:val="20"/>
                <w:szCs w:val="20"/>
              </w:rPr>
            </w:pPr>
            <w:r>
              <w:rPr>
                <w:rFonts w:asciiTheme="minorBidi" w:hAnsiTheme="minorBidi" w:cstheme="minorBidi"/>
                <w:sz w:val="20"/>
                <w:szCs w:val="20"/>
              </w:rPr>
              <w:t>AHA Centre to allow NS representative to participate in selected ACE Programme modules as trainees</w:t>
            </w:r>
          </w:p>
          <w:p w:rsidR="00AC1E13" w:rsidRDefault="00AC1E13" w:rsidP="00522C6A">
            <w:pPr>
              <w:rPr>
                <w:rFonts w:asciiTheme="minorBidi" w:hAnsiTheme="minorBidi" w:cstheme="minorBidi"/>
                <w:sz w:val="20"/>
                <w:szCs w:val="20"/>
              </w:rPr>
            </w:pPr>
          </w:p>
          <w:p w:rsidR="00AC1E13" w:rsidRDefault="00AC1E13" w:rsidP="00522C6A">
            <w:pPr>
              <w:rPr>
                <w:rFonts w:asciiTheme="minorBidi" w:hAnsiTheme="minorBidi" w:cstheme="minorBidi"/>
                <w:sz w:val="20"/>
                <w:szCs w:val="20"/>
              </w:rPr>
            </w:pPr>
          </w:p>
        </w:tc>
        <w:tc>
          <w:tcPr>
            <w:tcW w:w="2251" w:type="dxa"/>
          </w:tcPr>
          <w:p w:rsidR="00AC1E13" w:rsidRDefault="00AC1E13" w:rsidP="0011063A">
            <w:pPr>
              <w:rPr>
                <w:rFonts w:asciiTheme="minorBidi" w:hAnsiTheme="minorBidi"/>
                <w:sz w:val="20"/>
                <w:szCs w:val="20"/>
              </w:rPr>
            </w:pPr>
            <w:r>
              <w:rPr>
                <w:rFonts w:asciiTheme="minorBidi" w:hAnsiTheme="minorBidi"/>
                <w:sz w:val="20"/>
                <w:szCs w:val="20"/>
              </w:rPr>
              <w:t>AHA Centre, IFRC and NSs to jointly select modules and participants</w:t>
            </w:r>
          </w:p>
        </w:tc>
        <w:tc>
          <w:tcPr>
            <w:tcW w:w="2442" w:type="dxa"/>
          </w:tcPr>
          <w:p w:rsidR="00AC1E13" w:rsidRDefault="00AC1E13" w:rsidP="00AC1E13">
            <w:pPr>
              <w:rPr>
                <w:rFonts w:asciiTheme="minorBidi" w:hAnsiTheme="minorBidi" w:cstheme="minorBidi"/>
                <w:sz w:val="20"/>
                <w:szCs w:val="20"/>
              </w:rPr>
            </w:pPr>
            <w:r>
              <w:rPr>
                <w:rFonts w:asciiTheme="minorBidi" w:hAnsiTheme="minorBidi" w:cstheme="minorBidi"/>
                <w:sz w:val="20"/>
                <w:szCs w:val="20"/>
              </w:rPr>
              <w:t>2015 (Feb to August)</w:t>
            </w:r>
          </w:p>
        </w:tc>
        <w:tc>
          <w:tcPr>
            <w:tcW w:w="2401" w:type="dxa"/>
          </w:tcPr>
          <w:p w:rsidR="00AC1E13" w:rsidRDefault="00AC1E13" w:rsidP="00522C6A">
            <w:pPr>
              <w:rPr>
                <w:rFonts w:asciiTheme="minorBidi" w:hAnsiTheme="minorBidi" w:cstheme="minorBidi"/>
                <w:sz w:val="20"/>
                <w:szCs w:val="20"/>
              </w:rPr>
            </w:pPr>
            <w:r>
              <w:rPr>
                <w:rFonts w:asciiTheme="minorBidi" w:hAnsiTheme="minorBidi" w:cstheme="minorBidi"/>
                <w:sz w:val="20"/>
                <w:szCs w:val="20"/>
              </w:rPr>
              <w:t xml:space="preserve">AHA </w:t>
            </w:r>
          </w:p>
          <w:p w:rsidR="00AC1E13" w:rsidRDefault="00AC1E13" w:rsidP="00522C6A">
            <w:pPr>
              <w:rPr>
                <w:rFonts w:asciiTheme="minorBidi" w:hAnsiTheme="minorBidi" w:cstheme="minorBidi"/>
                <w:sz w:val="20"/>
                <w:szCs w:val="20"/>
              </w:rPr>
            </w:pPr>
            <w:r>
              <w:rPr>
                <w:rFonts w:asciiTheme="minorBidi" w:hAnsiTheme="minorBidi" w:cstheme="minorBidi"/>
                <w:sz w:val="20"/>
                <w:szCs w:val="20"/>
              </w:rPr>
              <w:t>IFRC</w:t>
            </w:r>
          </w:p>
          <w:p w:rsidR="00AC1E13" w:rsidRDefault="00AC1E13" w:rsidP="00522C6A">
            <w:pPr>
              <w:rPr>
                <w:rFonts w:asciiTheme="minorBidi" w:hAnsiTheme="minorBidi" w:cstheme="minorBidi"/>
                <w:sz w:val="20"/>
                <w:szCs w:val="20"/>
              </w:rPr>
            </w:pPr>
            <w:r>
              <w:rPr>
                <w:rFonts w:asciiTheme="minorBidi" w:hAnsiTheme="minorBidi" w:cstheme="minorBidi"/>
                <w:sz w:val="20"/>
                <w:szCs w:val="20"/>
              </w:rPr>
              <w:t>PMI</w:t>
            </w:r>
          </w:p>
        </w:tc>
      </w:tr>
    </w:tbl>
    <w:p w:rsidR="00CE7F08" w:rsidRDefault="00CE7F08" w:rsidP="00CE7F08"/>
    <w:p w:rsidR="00E91D9D" w:rsidRPr="00B728B7" w:rsidRDefault="00F94139" w:rsidP="00D830C5">
      <w:pPr>
        <w:pStyle w:val="Heading1"/>
      </w:pPr>
      <w:r w:rsidRPr="00B728B7">
        <w:t>How we work</w:t>
      </w:r>
      <w:r w:rsidRPr="00B728B7">
        <w:tab/>
      </w:r>
    </w:p>
    <w:p w:rsidR="00E91D9D" w:rsidRPr="00B728B7" w:rsidRDefault="00F94139" w:rsidP="00E91D9D">
      <w:r w:rsidRPr="00B728B7">
        <w:rPr>
          <w:i/>
        </w:rPr>
        <w:t>Strategy 2020</w:t>
      </w:r>
      <w:r w:rsidRPr="00B728B7">
        <w:t xml:space="preserve"> voices the collective determination of the International Federation of Red Cross and Red Crescent Societies (IFRC) to move forward in tackling the major challenges that confront humanity in the next decade. Informed by the needs and vulnerabilities of the diverse communities with whom we work, as well as the basic rights and freedoms to which all are entitled, this strategy seeks to benefit all who look to Red Cross Red Crescent to help to build a more humane, dignified, and peaceful world.</w:t>
      </w:r>
    </w:p>
    <w:p w:rsidR="00E91D9D" w:rsidRPr="00B728B7" w:rsidRDefault="00F94139" w:rsidP="00E91D9D">
      <w:r>
        <w:rPr>
          <w:noProof/>
          <w:lang w:val="en-GB" w:eastAsia="en-GB"/>
        </w:rPr>
        <w:drawing>
          <wp:anchor distT="0" distB="0" distL="114300" distR="114300" simplePos="0" relativeHeight="251657728" behindDoc="0" locked="0" layoutInCell="1" allowOverlap="1" wp14:anchorId="5E4331AA" wp14:editId="52D53FFE">
            <wp:simplePos x="0" y="0"/>
            <wp:positionH relativeFrom="column">
              <wp:posOffset>-90170</wp:posOffset>
            </wp:positionH>
            <wp:positionV relativeFrom="paragraph">
              <wp:posOffset>97155</wp:posOffset>
            </wp:positionV>
            <wp:extent cx="2057400" cy="1058334"/>
            <wp:effectExtent l="25400" t="0" r="0" b="0"/>
            <wp:wrapNone/>
            <wp:docPr id="2" name="Picture 2" descr="IFRC-Saving lives ico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RC-Saving lives icons-EN"/>
                    <pic:cNvPicPr>
                      <a:picLocks noChangeAspect="1" noChangeArrowheads="1"/>
                    </pic:cNvPicPr>
                  </pic:nvPicPr>
                  <pic:blipFill>
                    <a:blip r:embed="rId8"/>
                    <a:srcRect/>
                    <a:stretch>
                      <a:fillRect/>
                    </a:stretch>
                  </pic:blipFill>
                  <pic:spPr bwMode="auto">
                    <a:xfrm>
                      <a:off x="0" y="0"/>
                      <a:ext cx="2057400" cy="1058334"/>
                    </a:xfrm>
                    <a:prstGeom prst="rect">
                      <a:avLst/>
                    </a:prstGeom>
                    <a:noFill/>
                    <a:ln w="9525">
                      <a:noFill/>
                      <a:miter lim="800000"/>
                      <a:headEnd/>
                      <a:tailEnd/>
                    </a:ln>
                  </pic:spPr>
                </pic:pic>
              </a:graphicData>
            </a:graphic>
          </wp:anchor>
        </w:drawing>
      </w:r>
    </w:p>
    <w:p w:rsidR="00E91D9D" w:rsidRPr="00B728B7" w:rsidRDefault="00EB0B67" w:rsidP="00E91D9D"/>
    <w:p w:rsidR="00E91D9D" w:rsidRPr="00B728B7" w:rsidRDefault="00EB0B67" w:rsidP="00E91D9D"/>
    <w:p w:rsidR="00E91D9D" w:rsidRPr="00B728B7" w:rsidRDefault="00EB0B67" w:rsidP="00E91D9D"/>
    <w:p w:rsidR="00E91D9D" w:rsidRPr="00B728B7" w:rsidRDefault="00EB0B67" w:rsidP="00E91D9D"/>
    <w:p w:rsidR="00E91D9D" w:rsidRPr="00B728B7" w:rsidRDefault="00F94139" w:rsidP="00E91D9D">
      <w:r w:rsidRPr="00B728B7">
        <w:t>Over the next ten years, the collective focus of the IFRC will be on achieving the following strategic aims:</w:t>
      </w:r>
    </w:p>
    <w:p w:rsidR="00E91D9D" w:rsidRPr="00B728B7" w:rsidRDefault="00F94139" w:rsidP="00E91D9D">
      <w:pPr>
        <w:pStyle w:val="Listbulleted1"/>
        <w:numPr>
          <w:ilvl w:val="0"/>
          <w:numId w:val="44"/>
        </w:numPr>
      </w:pPr>
      <w:r w:rsidRPr="00B728B7">
        <w:t xml:space="preserve">Save lives, protect livelihoods, and strengthen recovery from disasters and crises </w:t>
      </w:r>
    </w:p>
    <w:p w:rsidR="00E91D9D" w:rsidRPr="00B728B7" w:rsidRDefault="00F94139" w:rsidP="00E91D9D">
      <w:pPr>
        <w:pStyle w:val="Listbulleted1"/>
        <w:numPr>
          <w:ilvl w:val="0"/>
          <w:numId w:val="44"/>
        </w:numPr>
      </w:pPr>
      <w:r w:rsidRPr="00B728B7">
        <w:t xml:space="preserve">Enable healthy and safe living </w:t>
      </w:r>
    </w:p>
    <w:p w:rsidR="00E91D9D" w:rsidRPr="00B728B7" w:rsidRDefault="00F94139" w:rsidP="00E91D9D">
      <w:pPr>
        <w:pStyle w:val="Listbulleted1"/>
        <w:numPr>
          <w:ilvl w:val="0"/>
          <w:numId w:val="44"/>
        </w:numPr>
      </w:pPr>
      <w:r w:rsidRPr="00B728B7">
        <w:t xml:space="preserve">Promote social inclusion and a culture </w:t>
      </w:r>
      <w:r w:rsidRPr="00B728B7">
        <w:br/>
        <w:t>of non-violence and peace</w:t>
      </w:r>
    </w:p>
    <w:p w:rsidR="00E91D9D" w:rsidRPr="00B728B7" w:rsidRDefault="00EB0B67" w:rsidP="00E91D9D"/>
    <w:p w:rsidR="00E91D9D" w:rsidRPr="00B728B7" w:rsidRDefault="00F94139" w:rsidP="00D830C5">
      <w:pPr>
        <w:pStyle w:val="Heading1"/>
      </w:pPr>
      <w:r w:rsidRPr="00B728B7">
        <w:t>Contact information</w:t>
      </w:r>
    </w:p>
    <w:p w:rsidR="00E91D9D" w:rsidRPr="00B728B7" w:rsidRDefault="00F94139" w:rsidP="00E91D9D">
      <w:r w:rsidRPr="00B728B7">
        <w:t>For further information, please contact:</w:t>
      </w:r>
    </w:p>
    <w:p w:rsidR="00E91D9D" w:rsidRDefault="00033B52" w:rsidP="00E91D9D">
      <w:pPr>
        <w:rPr>
          <w:rStyle w:val="Heading4Char"/>
        </w:rPr>
      </w:pPr>
      <w:r>
        <w:rPr>
          <w:rStyle w:val="Heading4Char"/>
        </w:rPr>
        <w:t>IFRC Southeast Asia Regional Delegation</w:t>
      </w:r>
      <w:bookmarkStart w:id="0" w:name="_GoBack"/>
      <w:bookmarkEnd w:id="0"/>
    </w:p>
    <w:p w:rsidR="00033B52" w:rsidRPr="00B728B7" w:rsidRDefault="00033B52" w:rsidP="00E91D9D">
      <w:pPr>
        <w:rPr>
          <w:rFonts w:ascii="Arial Bold" w:hAnsi="Arial Bold"/>
        </w:rPr>
      </w:pPr>
      <w:r>
        <w:rPr>
          <w:rStyle w:val="Heading4Char"/>
        </w:rPr>
        <w:t>Red Cross / Red Crescent National Societies</w:t>
      </w:r>
    </w:p>
    <w:p w:rsidR="00E91D9D" w:rsidRPr="00033B52" w:rsidRDefault="00EB0B67" w:rsidP="00E91D9D"/>
    <w:sectPr w:rsidR="00E91D9D" w:rsidRPr="00033B52" w:rsidSect="00E91D9D">
      <w:headerReference w:type="even" r:id="rId9"/>
      <w:headerReference w:type="default" r:id="rId10"/>
      <w:footerReference w:type="default" r:id="rId11"/>
      <w:footerReference w:type="first" r:id="rId12"/>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B67" w:rsidRDefault="00EB0B67">
      <w:r>
        <w:separator/>
      </w:r>
    </w:p>
    <w:p w:rsidR="00EB0B67" w:rsidRDefault="00EB0B67"/>
    <w:p w:rsidR="00EB0B67" w:rsidRDefault="00EB0B67"/>
  </w:endnote>
  <w:endnote w:type="continuationSeparator" w:id="0">
    <w:p w:rsidR="00EB0B67" w:rsidRDefault="00EB0B67">
      <w:r>
        <w:continuationSeparator/>
      </w:r>
    </w:p>
    <w:p w:rsidR="00EB0B67" w:rsidRDefault="00EB0B67"/>
    <w:p w:rsidR="00EB0B67" w:rsidRDefault="00EB0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7216" behindDoc="0" locked="0" layoutInCell="1" allowOverlap="1">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B67" w:rsidRDefault="00EB0B67">
      <w:r>
        <w:separator/>
      </w:r>
    </w:p>
    <w:p w:rsidR="00EB0B67" w:rsidRDefault="00EB0B67"/>
    <w:p w:rsidR="00EB0B67" w:rsidRDefault="00EB0B67"/>
  </w:footnote>
  <w:footnote w:type="continuationSeparator" w:id="0">
    <w:p w:rsidR="00EB0B67" w:rsidRDefault="00EB0B67">
      <w:r>
        <w:continuationSeparator/>
      </w:r>
    </w:p>
    <w:p w:rsidR="00EB0B67" w:rsidRDefault="00EB0B67"/>
    <w:p w:rsidR="00EB0B67" w:rsidRDefault="00EB0B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EB0B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Pr="00895C69" w:rsidRDefault="00F94139" w:rsidP="00E91D9D">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2445A4">
      <w:rPr>
        <w:rStyle w:val="PageNumber"/>
        <w:rFonts w:ascii="Arial" w:hAnsi="Arial" w:cs="Arial"/>
        <w:b/>
        <w:bCs/>
        <w:noProof/>
        <w:sz w:val="16"/>
        <w:szCs w:val="16"/>
      </w:rPr>
      <w:t>2</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Pr>
        <w:rFonts w:ascii="Arial" w:hAnsi="Arial"/>
        <w:b/>
        <w:sz w:val="16"/>
      </w:rPr>
      <w:t xml:space="preserve">Topic / </w:t>
    </w:r>
    <w:r w:rsidRPr="00BA622B">
      <w:rPr>
        <w:rFonts w:ascii="Arial" w:hAnsi="Arial"/>
        <w:b/>
        <w:color w:val="FF0000"/>
        <w:sz w:val="16"/>
      </w:rPr>
      <w:t>Place</w:t>
    </w:r>
    <w:r>
      <w:rPr>
        <w:rFonts w:ascii="Arial" w:hAnsi="Arial"/>
        <w:b/>
        <w:sz w:val="16"/>
      </w:rPr>
      <w:t xml:space="preserve"> / </w:t>
    </w:r>
    <w:r w:rsidRPr="00BA622B">
      <w:rPr>
        <w:rFonts w:ascii="Arial" w:hAnsi="Arial"/>
        <w:b/>
        <w:color w:val="7F7F7F"/>
        <w:sz w:val="16"/>
      </w:rPr>
      <w:t>Date</w:t>
    </w:r>
  </w:p>
  <w:p w:rsidR="00E91D9D" w:rsidRDefault="00EB0B67" w:rsidP="00E91D9D"/>
  <w:p w:rsidR="00E91D9D" w:rsidRDefault="00EB0B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art9C35"/>
      </v:shape>
    </w:pict>
  </w:numPicBullet>
  <w:abstractNum w:abstractNumId="0">
    <w:nsid w:val="FFFFFF1D"/>
    <w:multiLevelType w:val="multilevel"/>
    <w:tmpl w:val="6AC21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902FC8"/>
    <w:lvl w:ilvl="0">
      <w:start w:val="1"/>
      <w:numFmt w:val="decimal"/>
      <w:lvlText w:val="%1."/>
      <w:lvlJc w:val="left"/>
      <w:pPr>
        <w:tabs>
          <w:tab w:val="num" w:pos="1492"/>
        </w:tabs>
        <w:ind w:left="1492" w:hanging="360"/>
      </w:pPr>
    </w:lvl>
  </w:abstractNum>
  <w:abstractNum w:abstractNumId="2">
    <w:nsid w:val="FFFFFF7D"/>
    <w:multiLevelType w:val="singleLevel"/>
    <w:tmpl w:val="7D080F14"/>
    <w:lvl w:ilvl="0">
      <w:start w:val="1"/>
      <w:numFmt w:val="decimal"/>
      <w:lvlText w:val="%1."/>
      <w:lvlJc w:val="left"/>
      <w:pPr>
        <w:tabs>
          <w:tab w:val="num" w:pos="1209"/>
        </w:tabs>
        <w:ind w:left="1209" w:hanging="360"/>
      </w:pPr>
    </w:lvl>
  </w:abstractNum>
  <w:abstractNum w:abstractNumId="3">
    <w:nsid w:val="FFFFFF80"/>
    <w:multiLevelType w:val="singleLevel"/>
    <w:tmpl w:val="03D0963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C8C4E5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37EF20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27E52E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26E9C6A"/>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hybridMultilevel"/>
    <w:tmpl w:val="F5E63CE4"/>
    <w:lvl w:ilvl="0" w:tplc="6F42955A">
      <w:numFmt w:val="none"/>
      <w:lvlText w:val=""/>
      <w:lvlJc w:val="left"/>
      <w:pPr>
        <w:tabs>
          <w:tab w:val="num" w:pos="360"/>
        </w:tabs>
      </w:pPr>
    </w:lvl>
    <w:lvl w:ilvl="1" w:tplc="210418E0">
      <w:numFmt w:val="decimal"/>
      <w:lvlText w:val=""/>
      <w:lvlJc w:val="left"/>
    </w:lvl>
    <w:lvl w:ilvl="2" w:tplc="C526D2D4">
      <w:numFmt w:val="decimal"/>
      <w:lvlText w:val=""/>
      <w:lvlJc w:val="left"/>
    </w:lvl>
    <w:lvl w:ilvl="3" w:tplc="C4BE6286">
      <w:numFmt w:val="decimal"/>
      <w:lvlText w:val=""/>
      <w:lvlJc w:val="left"/>
    </w:lvl>
    <w:lvl w:ilvl="4" w:tplc="3C0AB8EA">
      <w:numFmt w:val="decimal"/>
      <w:lvlText w:val=""/>
      <w:lvlJc w:val="left"/>
    </w:lvl>
    <w:lvl w:ilvl="5" w:tplc="5718CB82">
      <w:numFmt w:val="decimal"/>
      <w:lvlText w:val=""/>
      <w:lvlJc w:val="left"/>
    </w:lvl>
    <w:lvl w:ilvl="6" w:tplc="F16C5156">
      <w:numFmt w:val="decimal"/>
      <w:lvlText w:val=""/>
      <w:lvlJc w:val="left"/>
    </w:lvl>
    <w:lvl w:ilvl="7" w:tplc="B69ADEEE">
      <w:numFmt w:val="decimal"/>
      <w:lvlText w:val=""/>
      <w:lvlJc w:val="left"/>
    </w:lvl>
    <w:lvl w:ilvl="8" w:tplc="F6FA69EA">
      <w:numFmt w:val="decimal"/>
      <w:lvlText w:val=""/>
      <w:lvlJc w:val="left"/>
    </w:lvl>
  </w:abstractNum>
  <w:abstractNum w:abstractNumId="9">
    <w:nsid w:val="030C181E"/>
    <w:multiLevelType w:val="hybridMultilevel"/>
    <w:tmpl w:val="F03CE034"/>
    <w:lvl w:ilvl="0" w:tplc="C71CF6B6">
      <w:start w:val="1"/>
      <w:numFmt w:val="bullet"/>
      <w:lvlText w:val=""/>
      <w:lvlPicBulletId w:val="0"/>
      <w:lvlJc w:val="left"/>
      <w:pPr>
        <w:tabs>
          <w:tab w:val="num" w:pos="720"/>
        </w:tabs>
        <w:ind w:left="720" w:hanging="360"/>
      </w:pPr>
      <w:rPr>
        <w:rFonts w:ascii="Symbol" w:hAnsi="Symbol" w:hint="default"/>
      </w:rPr>
    </w:lvl>
    <w:lvl w:ilvl="1" w:tplc="55D40598" w:tentative="1">
      <w:start w:val="1"/>
      <w:numFmt w:val="bullet"/>
      <w:lvlText w:val=""/>
      <w:lvlPicBulletId w:val="0"/>
      <w:lvlJc w:val="left"/>
      <w:pPr>
        <w:tabs>
          <w:tab w:val="num" w:pos="1440"/>
        </w:tabs>
        <w:ind w:left="1440" w:hanging="360"/>
      </w:pPr>
      <w:rPr>
        <w:rFonts w:ascii="Symbol" w:hAnsi="Symbol" w:hint="default"/>
      </w:rPr>
    </w:lvl>
    <w:lvl w:ilvl="2" w:tplc="D690DE32" w:tentative="1">
      <w:start w:val="1"/>
      <w:numFmt w:val="bullet"/>
      <w:lvlText w:val=""/>
      <w:lvlPicBulletId w:val="0"/>
      <w:lvlJc w:val="left"/>
      <w:pPr>
        <w:tabs>
          <w:tab w:val="num" w:pos="2160"/>
        </w:tabs>
        <w:ind w:left="2160" w:hanging="360"/>
      </w:pPr>
      <w:rPr>
        <w:rFonts w:ascii="Symbol" w:hAnsi="Symbol" w:hint="default"/>
      </w:rPr>
    </w:lvl>
    <w:lvl w:ilvl="3" w:tplc="C45CB124" w:tentative="1">
      <w:start w:val="1"/>
      <w:numFmt w:val="bullet"/>
      <w:lvlText w:val=""/>
      <w:lvlPicBulletId w:val="0"/>
      <w:lvlJc w:val="left"/>
      <w:pPr>
        <w:tabs>
          <w:tab w:val="num" w:pos="2880"/>
        </w:tabs>
        <w:ind w:left="2880" w:hanging="360"/>
      </w:pPr>
      <w:rPr>
        <w:rFonts w:ascii="Symbol" w:hAnsi="Symbol" w:hint="default"/>
      </w:rPr>
    </w:lvl>
    <w:lvl w:ilvl="4" w:tplc="23525D88" w:tentative="1">
      <w:start w:val="1"/>
      <w:numFmt w:val="bullet"/>
      <w:lvlText w:val=""/>
      <w:lvlPicBulletId w:val="0"/>
      <w:lvlJc w:val="left"/>
      <w:pPr>
        <w:tabs>
          <w:tab w:val="num" w:pos="3600"/>
        </w:tabs>
        <w:ind w:left="3600" w:hanging="360"/>
      </w:pPr>
      <w:rPr>
        <w:rFonts w:ascii="Symbol" w:hAnsi="Symbol" w:hint="default"/>
      </w:rPr>
    </w:lvl>
    <w:lvl w:ilvl="5" w:tplc="B3AA1466" w:tentative="1">
      <w:start w:val="1"/>
      <w:numFmt w:val="bullet"/>
      <w:lvlText w:val=""/>
      <w:lvlPicBulletId w:val="0"/>
      <w:lvlJc w:val="left"/>
      <w:pPr>
        <w:tabs>
          <w:tab w:val="num" w:pos="4320"/>
        </w:tabs>
        <w:ind w:left="4320" w:hanging="360"/>
      </w:pPr>
      <w:rPr>
        <w:rFonts w:ascii="Symbol" w:hAnsi="Symbol" w:hint="default"/>
      </w:rPr>
    </w:lvl>
    <w:lvl w:ilvl="6" w:tplc="0764F5E2" w:tentative="1">
      <w:start w:val="1"/>
      <w:numFmt w:val="bullet"/>
      <w:lvlText w:val=""/>
      <w:lvlPicBulletId w:val="0"/>
      <w:lvlJc w:val="left"/>
      <w:pPr>
        <w:tabs>
          <w:tab w:val="num" w:pos="5040"/>
        </w:tabs>
        <w:ind w:left="5040" w:hanging="360"/>
      </w:pPr>
      <w:rPr>
        <w:rFonts w:ascii="Symbol" w:hAnsi="Symbol" w:hint="default"/>
      </w:rPr>
    </w:lvl>
    <w:lvl w:ilvl="7" w:tplc="6B7C13FE" w:tentative="1">
      <w:start w:val="1"/>
      <w:numFmt w:val="bullet"/>
      <w:lvlText w:val=""/>
      <w:lvlPicBulletId w:val="0"/>
      <w:lvlJc w:val="left"/>
      <w:pPr>
        <w:tabs>
          <w:tab w:val="num" w:pos="5760"/>
        </w:tabs>
        <w:ind w:left="5760" w:hanging="360"/>
      </w:pPr>
      <w:rPr>
        <w:rFonts w:ascii="Symbol" w:hAnsi="Symbol" w:hint="default"/>
      </w:rPr>
    </w:lvl>
    <w:lvl w:ilvl="8" w:tplc="64300F90"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04E44E01"/>
    <w:multiLevelType w:val="hybridMultilevel"/>
    <w:tmpl w:val="699602B8"/>
    <w:lvl w:ilvl="0" w:tplc="8D72F01E">
      <w:start w:val="1"/>
      <w:numFmt w:val="bullet"/>
      <w:lvlText w:val=""/>
      <w:lvlPicBulletId w:val="0"/>
      <w:lvlJc w:val="left"/>
      <w:pPr>
        <w:tabs>
          <w:tab w:val="num" w:pos="720"/>
        </w:tabs>
        <w:ind w:left="720" w:hanging="360"/>
      </w:pPr>
      <w:rPr>
        <w:rFonts w:ascii="Symbol" w:hAnsi="Symbol" w:hint="default"/>
      </w:rPr>
    </w:lvl>
    <w:lvl w:ilvl="1" w:tplc="2E3AEA06" w:tentative="1">
      <w:start w:val="1"/>
      <w:numFmt w:val="bullet"/>
      <w:lvlText w:val=""/>
      <w:lvlPicBulletId w:val="0"/>
      <w:lvlJc w:val="left"/>
      <w:pPr>
        <w:tabs>
          <w:tab w:val="num" w:pos="1440"/>
        </w:tabs>
        <w:ind w:left="1440" w:hanging="360"/>
      </w:pPr>
      <w:rPr>
        <w:rFonts w:ascii="Symbol" w:hAnsi="Symbol" w:hint="default"/>
      </w:rPr>
    </w:lvl>
    <w:lvl w:ilvl="2" w:tplc="7E980304" w:tentative="1">
      <w:start w:val="1"/>
      <w:numFmt w:val="bullet"/>
      <w:lvlText w:val=""/>
      <w:lvlPicBulletId w:val="0"/>
      <w:lvlJc w:val="left"/>
      <w:pPr>
        <w:tabs>
          <w:tab w:val="num" w:pos="2160"/>
        </w:tabs>
        <w:ind w:left="2160" w:hanging="360"/>
      </w:pPr>
      <w:rPr>
        <w:rFonts w:ascii="Symbol" w:hAnsi="Symbol" w:hint="default"/>
      </w:rPr>
    </w:lvl>
    <w:lvl w:ilvl="3" w:tplc="1EF63728" w:tentative="1">
      <w:start w:val="1"/>
      <w:numFmt w:val="bullet"/>
      <w:lvlText w:val=""/>
      <w:lvlPicBulletId w:val="0"/>
      <w:lvlJc w:val="left"/>
      <w:pPr>
        <w:tabs>
          <w:tab w:val="num" w:pos="2880"/>
        </w:tabs>
        <w:ind w:left="2880" w:hanging="360"/>
      </w:pPr>
      <w:rPr>
        <w:rFonts w:ascii="Symbol" w:hAnsi="Symbol" w:hint="default"/>
      </w:rPr>
    </w:lvl>
    <w:lvl w:ilvl="4" w:tplc="6290C860" w:tentative="1">
      <w:start w:val="1"/>
      <w:numFmt w:val="bullet"/>
      <w:lvlText w:val=""/>
      <w:lvlPicBulletId w:val="0"/>
      <w:lvlJc w:val="left"/>
      <w:pPr>
        <w:tabs>
          <w:tab w:val="num" w:pos="3600"/>
        </w:tabs>
        <w:ind w:left="3600" w:hanging="360"/>
      </w:pPr>
      <w:rPr>
        <w:rFonts w:ascii="Symbol" w:hAnsi="Symbol" w:hint="default"/>
      </w:rPr>
    </w:lvl>
    <w:lvl w:ilvl="5" w:tplc="7D70C43C" w:tentative="1">
      <w:start w:val="1"/>
      <w:numFmt w:val="bullet"/>
      <w:lvlText w:val=""/>
      <w:lvlPicBulletId w:val="0"/>
      <w:lvlJc w:val="left"/>
      <w:pPr>
        <w:tabs>
          <w:tab w:val="num" w:pos="4320"/>
        </w:tabs>
        <w:ind w:left="4320" w:hanging="360"/>
      </w:pPr>
      <w:rPr>
        <w:rFonts w:ascii="Symbol" w:hAnsi="Symbol" w:hint="default"/>
      </w:rPr>
    </w:lvl>
    <w:lvl w:ilvl="6" w:tplc="DA6AA75E" w:tentative="1">
      <w:start w:val="1"/>
      <w:numFmt w:val="bullet"/>
      <w:lvlText w:val=""/>
      <w:lvlPicBulletId w:val="0"/>
      <w:lvlJc w:val="left"/>
      <w:pPr>
        <w:tabs>
          <w:tab w:val="num" w:pos="5040"/>
        </w:tabs>
        <w:ind w:left="5040" w:hanging="360"/>
      </w:pPr>
      <w:rPr>
        <w:rFonts w:ascii="Symbol" w:hAnsi="Symbol" w:hint="default"/>
      </w:rPr>
    </w:lvl>
    <w:lvl w:ilvl="7" w:tplc="3B48B954" w:tentative="1">
      <w:start w:val="1"/>
      <w:numFmt w:val="bullet"/>
      <w:lvlText w:val=""/>
      <w:lvlPicBulletId w:val="0"/>
      <w:lvlJc w:val="left"/>
      <w:pPr>
        <w:tabs>
          <w:tab w:val="num" w:pos="5760"/>
        </w:tabs>
        <w:ind w:left="5760" w:hanging="360"/>
      </w:pPr>
      <w:rPr>
        <w:rFonts w:ascii="Symbol" w:hAnsi="Symbol" w:hint="default"/>
      </w:rPr>
    </w:lvl>
    <w:lvl w:ilvl="8" w:tplc="731A310E"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08207195"/>
    <w:multiLevelType w:val="hybridMultilevel"/>
    <w:tmpl w:val="45843F9E"/>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0F543DD3"/>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3">
    <w:nsid w:val="11C27408"/>
    <w:multiLevelType w:val="hybridMultilevel"/>
    <w:tmpl w:val="88CC92C0"/>
    <w:lvl w:ilvl="0" w:tplc="34C0F914">
      <w:start w:val="1"/>
      <w:numFmt w:val="decimalZero"/>
      <w:lvlText w:val="%1."/>
      <w:lvlJc w:val="left"/>
      <w:pPr>
        <w:ind w:left="116" w:hanging="40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nsid w:val="151D340A"/>
    <w:multiLevelType w:val="hybridMultilevel"/>
    <w:tmpl w:val="2E04D66C"/>
    <w:lvl w:ilvl="0" w:tplc="4FA60514">
      <w:start w:val="1"/>
      <w:numFmt w:val="decimalZero"/>
      <w:lvlText w:val="%1."/>
      <w:lvlJc w:val="left"/>
      <w:pPr>
        <w:ind w:left="-734" w:hanging="400"/>
      </w:pPr>
      <w:rPr>
        <w:rFonts w:hint="default"/>
        <w:color w:val="FF000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5">
    <w:nsid w:val="152847B1"/>
    <w:multiLevelType w:val="multilevel"/>
    <w:tmpl w:val="CE8ECA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66D0F1B"/>
    <w:multiLevelType w:val="multilevel"/>
    <w:tmpl w:val="01E6414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B1351DA"/>
    <w:multiLevelType w:val="hybridMultilevel"/>
    <w:tmpl w:val="6942601C"/>
    <w:lvl w:ilvl="0" w:tplc="6C2EC3E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nsid w:val="1FB46612"/>
    <w:multiLevelType w:val="hybridMultilevel"/>
    <w:tmpl w:val="136A2A9C"/>
    <w:lvl w:ilvl="0" w:tplc="0292F14E">
      <w:start w:val="1"/>
      <w:numFmt w:val="bullet"/>
      <w:lvlText w:val=""/>
      <w:lvlPicBulletId w:val="0"/>
      <w:lvlJc w:val="left"/>
      <w:pPr>
        <w:tabs>
          <w:tab w:val="num" w:pos="720"/>
        </w:tabs>
        <w:ind w:left="720" w:hanging="360"/>
      </w:pPr>
      <w:rPr>
        <w:rFonts w:ascii="Symbol" w:hAnsi="Symbol" w:hint="default"/>
      </w:rPr>
    </w:lvl>
    <w:lvl w:ilvl="1" w:tplc="EB70C68C" w:tentative="1">
      <w:start w:val="1"/>
      <w:numFmt w:val="bullet"/>
      <w:lvlText w:val=""/>
      <w:lvlPicBulletId w:val="0"/>
      <w:lvlJc w:val="left"/>
      <w:pPr>
        <w:tabs>
          <w:tab w:val="num" w:pos="1440"/>
        </w:tabs>
        <w:ind w:left="1440" w:hanging="360"/>
      </w:pPr>
      <w:rPr>
        <w:rFonts w:ascii="Symbol" w:hAnsi="Symbol" w:hint="default"/>
      </w:rPr>
    </w:lvl>
    <w:lvl w:ilvl="2" w:tplc="93129326" w:tentative="1">
      <w:start w:val="1"/>
      <w:numFmt w:val="bullet"/>
      <w:lvlText w:val=""/>
      <w:lvlPicBulletId w:val="0"/>
      <w:lvlJc w:val="left"/>
      <w:pPr>
        <w:tabs>
          <w:tab w:val="num" w:pos="2160"/>
        </w:tabs>
        <w:ind w:left="2160" w:hanging="360"/>
      </w:pPr>
      <w:rPr>
        <w:rFonts w:ascii="Symbol" w:hAnsi="Symbol" w:hint="default"/>
      </w:rPr>
    </w:lvl>
    <w:lvl w:ilvl="3" w:tplc="7D12A7DA" w:tentative="1">
      <w:start w:val="1"/>
      <w:numFmt w:val="bullet"/>
      <w:lvlText w:val=""/>
      <w:lvlPicBulletId w:val="0"/>
      <w:lvlJc w:val="left"/>
      <w:pPr>
        <w:tabs>
          <w:tab w:val="num" w:pos="2880"/>
        </w:tabs>
        <w:ind w:left="2880" w:hanging="360"/>
      </w:pPr>
      <w:rPr>
        <w:rFonts w:ascii="Symbol" w:hAnsi="Symbol" w:hint="default"/>
      </w:rPr>
    </w:lvl>
    <w:lvl w:ilvl="4" w:tplc="C7245D88" w:tentative="1">
      <w:start w:val="1"/>
      <w:numFmt w:val="bullet"/>
      <w:lvlText w:val=""/>
      <w:lvlPicBulletId w:val="0"/>
      <w:lvlJc w:val="left"/>
      <w:pPr>
        <w:tabs>
          <w:tab w:val="num" w:pos="3600"/>
        </w:tabs>
        <w:ind w:left="3600" w:hanging="360"/>
      </w:pPr>
      <w:rPr>
        <w:rFonts w:ascii="Symbol" w:hAnsi="Symbol" w:hint="default"/>
      </w:rPr>
    </w:lvl>
    <w:lvl w:ilvl="5" w:tplc="856C0CCA" w:tentative="1">
      <w:start w:val="1"/>
      <w:numFmt w:val="bullet"/>
      <w:lvlText w:val=""/>
      <w:lvlPicBulletId w:val="0"/>
      <w:lvlJc w:val="left"/>
      <w:pPr>
        <w:tabs>
          <w:tab w:val="num" w:pos="4320"/>
        </w:tabs>
        <w:ind w:left="4320" w:hanging="360"/>
      </w:pPr>
      <w:rPr>
        <w:rFonts w:ascii="Symbol" w:hAnsi="Symbol" w:hint="default"/>
      </w:rPr>
    </w:lvl>
    <w:lvl w:ilvl="6" w:tplc="17F0A8CC" w:tentative="1">
      <w:start w:val="1"/>
      <w:numFmt w:val="bullet"/>
      <w:lvlText w:val=""/>
      <w:lvlPicBulletId w:val="0"/>
      <w:lvlJc w:val="left"/>
      <w:pPr>
        <w:tabs>
          <w:tab w:val="num" w:pos="5040"/>
        </w:tabs>
        <w:ind w:left="5040" w:hanging="360"/>
      </w:pPr>
      <w:rPr>
        <w:rFonts w:ascii="Symbol" w:hAnsi="Symbol" w:hint="default"/>
      </w:rPr>
    </w:lvl>
    <w:lvl w:ilvl="7" w:tplc="03A06AE0" w:tentative="1">
      <w:start w:val="1"/>
      <w:numFmt w:val="bullet"/>
      <w:lvlText w:val=""/>
      <w:lvlPicBulletId w:val="0"/>
      <w:lvlJc w:val="left"/>
      <w:pPr>
        <w:tabs>
          <w:tab w:val="num" w:pos="5760"/>
        </w:tabs>
        <w:ind w:left="5760" w:hanging="360"/>
      </w:pPr>
      <w:rPr>
        <w:rFonts w:ascii="Symbol" w:hAnsi="Symbol" w:hint="default"/>
      </w:rPr>
    </w:lvl>
    <w:lvl w:ilvl="8" w:tplc="98EE50DC"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0B209FD"/>
    <w:multiLevelType w:val="hybridMultilevel"/>
    <w:tmpl w:val="B53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6338D"/>
    <w:multiLevelType w:val="hybridMultilevel"/>
    <w:tmpl w:val="42C4C560"/>
    <w:lvl w:ilvl="0" w:tplc="C1AEB9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4036A5"/>
    <w:multiLevelType w:val="hybridMultilevel"/>
    <w:tmpl w:val="7048F6FE"/>
    <w:lvl w:ilvl="0" w:tplc="092EA76E">
      <w:start w:val="1"/>
      <w:numFmt w:val="decimalZero"/>
      <w:lvlText w:val="%1."/>
      <w:lvlJc w:val="left"/>
      <w:pPr>
        <w:ind w:left="258" w:hanging="400"/>
      </w:pPr>
      <w:rPr>
        <w:rFonts w:ascii="Arial Bold" w:hAnsi="Arial Bold" w:hint="default"/>
        <w:b w:val="0"/>
        <w:i w:val="0"/>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393F43"/>
    <w:multiLevelType w:val="hybridMultilevel"/>
    <w:tmpl w:val="4204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7307A6A"/>
    <w:multiLevelType w:val="hybridMultilevel"/>
    <w:tmpl w:val="75FA6630"/>
    <w:lvl w:ilvl="0" w:tplc="D8D603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AE46D7"/>
    <w:multiLevelType w:val="hybridMultilevel"/>
    <w:tmpl w:val="C908D99E"/>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E5EC5"/>
    <w:multiLevelType w:val="hybridMultilevel"/>
    <w:tmpl w:val="D82CA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D622518"/>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8">
    <w:nsid w:val="4230692F"/>
    <w:multiLevelType w:val="hybridMultilevel"/>
    <w:tmpl w:val="3A06551A"/>
    <w:lvl w:ilvl="0" w:tplc="811CAC30">
      <w:start w:val="2014"/>
      <w:numFmt w:val="bullet"/>
      <w:lvlText w:val="-"/>
      <w:lvlJc w:val="left"/>
      <w:pPr>
        <w:ind w:left="720" w:hanging="360"/>
      </w:pPr>
      <w:rPr>
        <w:rFonts w:ascii="Arial" w:eastAsia="Cambr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734280"/>
    <w:multiLevelType w:val="hybridMultilevel"/>
    <w:tmpl w:val="F4A61B5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0">
    <w:nsid w:val="4CAE61FF"/>
    <w:multiLevelType w:val="hybridMultilevel"/>
    <w:tmpl w:val="7E504888"/>
    <w:lvl w:ilvl="0" w:tplc="4FA60514">
      <w:start w:val="1"/>
      <w:numFmt w:val="decimalZero"/>
      <w:lvlText w:val="%1."/>
      <w:lvlJc w:val="left"/>
      <w:pPr>
        <w:ind w:left="-167" w:hanging="40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2">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CF3A94"/>
    <w:multiLevelType w:val="hybridMultilevel"/>
    <w:tmpl w:val="1ED2D186"/>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4">
    <w:nsid w:val="528A451C"/>
    <w:multiLevelType w:val="hybridMultilevel"/>
    <w:tmpl w:val="C670614C"/>
    <w:lvl w:ilvl="0" w:tplc="3B8E0F4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B351A1"/>
    <w:multiLevelType w:val="hybridMultilevel"/>
    <w:tmpl w:val="DE06162C"/>
    <w:lvl w:ilvl="0" w:tplc="DC46E6F4">
      <w:start w:val="1"/>
      <w:numFmt w:val="decimalZero"/>
      <w:lvlText w:val="%1."/>
      <w:lvlJc w:val="left"/>
      <w:pPr>
        <w:ind w:left="320" w:hanging="360"/>
      </w:pPr>
      <w:rPr>
        <w:rFonts w:hint="default"/>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6">
    <w:nsid w:val="59B53A2B"/>
    <w:multiLevelType w:val="hybridMultilevel"/>
    <w:tmpl w:val="7F1025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B9D5F49"/>
    <w:multiLevelType w:val="hybridMultilevel"/>
    <w:tmpl w:val="94F2878C"/>
    <w:lvl w:ilvl="0" w:tplc="AABC91F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8">
    <w:nsid w:val="64640A18"/>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39">
    <w:nsid w:val="6D116D52"/>
    <w:multiLevelType w:val="hybridMultilevel"/>
    <w:tmpl w:val="519A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DC31761"/>
    <w:multiLevelType w:val="hybridMultilevel"/>
    <w:tmpl w:val="D4207B0E"/>
    <w:lvl w:ilvl="0" w:tplc="3A5665CE">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BD3A9E"/>
    <w:multiLevelType w:val="hybridMultilevel"/>
    <w:tmpl w:val="0A4691AA"/>
    <w:lvl w:ilvl="0" w:tplc="AFF6EA2A">
      <w:start w:val="1"/>
      <w:numFmt w:val="bullet"/>
      <w:lvlText w:val=""/>
      <w:lvlPicBulletId w:val="0"/>
      <w:lvlJc w:val="left"/>
      <w:pPr>
        <w:tabs>
          <w:tab w:val="num" w:pos="720"/>
        </w:tabs>
        <w:ind w:left="720" w:hanging="360"/>
      </w:pPr>
      <w:rPr>
        <w:rFonts w:ascii="Symbol" w:hAnsi="Symbol" w:hint="default"/>
      </w:rPr>
    </w:lvl>
    <w:lvl w:ilvl="1" w:tplc="CA8850C2" w:tentative="1">
      <w:start w:val="1"/>
      <w:numFmt w:val="bullet"/>
      <w:lvlText w:val=""/>
      <w:lvlPicBulletId w:val="0"/>
      <w:lvlJc w:val="left"/>
      <w:pPr>
        <w:tabs>
          <w:tab w:val="num" w:pos="1440"/>
        </w:tabs>
        <w:ind w:left="1440" w:hanging="360"/>
      </w:pPr>
      <w:rPr>
        <w:rFonts w:ascii="Symbol" w:hAnsi="Symbol" w:hint="default"/>
      </w:rPr>
    </w:lvl>
    <w:lvl w:ilvl="2" w:tplc="987C3D6A" w:tentative="1">
      <w:start w:val="1"/>
      <w:numFmt w:val="bullet"/>
      <w:lvlText w:val=""/>
      <w:lvlPicBulletId w:val="0"/>
      <w:lvlJc w:val="left"/>
      <w:pPr>
        <w:tabs>
          <w:tab w:val="num" w:pos="2160"/>
        </w:tabs>
        <w:ind w:left="2160" w:hanging="360"/>
      </w:pPr>
      <w:rPr>
        <w:rFonts w:ascii="Symbol" w:hAnsi="Symbol" w:hint="default"/>
      </w:rPr>
    </w:lvl>
    <w:lvl w:ilvl="3" w:tplc="7DDCE65E" w:tentative="1">
      <w:start w:val="1"/>
      <w:numFmt w:val="bullet"/>
      <w:lvlText w:val=""/>
      <w:lvlPicBulletId w:val="0"/>
      <w:lvlJc w:val="left"/>
      <w:pPr>
        <w:tabs>
          <w:tab w:val="num" w:pos="2880"/>
        </w:tabs>
        <w:ind w:left="2880" w:hanging="360"/>
      </w:pPr>
      <w:rPr>
        <w:rFonts w:ascii="Symbol" w:hAnsi="Symbol" w:hint="default"/>
      </w:rPr>
    </w:lvl>
    <w:lvl w:ilvl="4" w:tplc="666839E4" w:tentative="1">
      <w:start w:val="1"/>
      <w:numFmt w:val="bullet"/>
      <w:lvlText w:val=""/>
      <w:lvlPicBulletId w:val="0"/>
      <w:lvlJc w:val="left"/>
      <w:pPr>
        <w:tabs>
          <w:tab w:val="num" w:pos="3600"/>
        </w:tabs>
        <w:ind w:left="3600" w:hanging="360"/>
      </w:pPr>
      <w:rPr>
        <w:rFonts w:ascii="Symbol" w:hAnsi="Symbol" w:hint="default"/>
      </w:rPr>
    </w:lvl>
    <w:lvl w:ilvl="5" w:tplc="4D5E9A58" w:tentative="1">
      <w:start w:val="1"/>
      <w:numFmt w:val="bullet"/>
      <w:lvlText w:val=""/>
      <w:lvlPicBulletId w:val="0"/>
      <w:lvlJc w:val="left"/>
      <w:pPr>
        <w:tabs>
          <w:tab w:val="num" w:pos="4320"/>
        </w:tabs>
        <w:ind w:left="4320" w:hanging="360"/>
      </w:pPr>
      <w:rPr>
        <w:rFonts w:ascii="Symbol" w:hAnsi="Symbol" w:hint="default"/>
      </w:rPr>
    </w:lvl>
    <w:lvl w:ilvl="6" w:tplc="B11E6728" w:tentative="1">
      <w:start w:val="1"/>
      <w:numFmt w:val="bullet"/>
      <w:lvlText w:val=""/>
      <w:lvlPicBulletId w:val="0"/>
      <w:lvlJc w:val="left"/>
      <w:pPr>
        <w:tabs>
          <w:tab w:val="num" w:pos="5040"/>
        </w:tabs>
        <w:ind w:left="5040" w:hanging="360"/>
      </w:pPr>
      <w:rPr>
        <w:rFonts w:ascii="Symbol" w:hAnsi="Symbol" w:hint="default"/>
      </w:rPr>
    </w:lvl>
    <w:lvl w:ilvl="7" w:tplc="04B84892" w:tentative="1">
      <w:start w:val="1"/>
      <w:numFmt w:val="bullet"/>
      <w:lvlText w:val=""/>
      <w:lvlPicBulletId w:val="0"/>
      <w:lvlJc w:val="left"/>
      <w:pPr>
        <w:tabs>
          <w:tab w:val="num" w:pos="5760"/>
        </w:tabs>
        <w:ind w:left="5760" w:hanging="360"/>
      </w:pPr>
      <w:rPr>
        <w:rFonts w:ascii="Symbol" w:hAnsi="Symbol" w:hint="default"/>
      </w:rPr>
    </w:lvl>
    <w:lvl w:ilvl="8" w:tplc="57EA0A5A"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751C7570"/>
    <w:multiLevelType w:val="hybridMultilevel"/>
    <w:tmpl w:val="E7A061E2"/>
    <w:lvl w:ilvl="0" w:tplc="827E934A">
      <w:start w:val="1"/>
      <w:numFmt w:val="decimalZero"/>
      <w:lvlText w:val="%1."/>
      <w:lvlJc w:val="left"/>
      <w:pPr>
        <w:ind w:left="400" w:hanging="400"/>
      </w:pPr>
      <w:rPr>
        <w:rFonts w:hint="default"/>
        <w:color w:val="FF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4">
    <w:nsid w:val="75E3454A"/>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45">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BD106D"/>
    <w:multiLevelType w:val="hybridMultilevel"/>
    <w:tmpl w:val="92EA95A8"/>
    <w:lvl w:ilvl="0" w:tplc="F378E048">
      <w:start w:val="1"/>
      <w:numFmt w:val="decimalZero"/>
      <w:lvlText w:val="%1."/>
      <w:lvlJc w:val="left"/>
      <w:pPr>
        <w:ind w:left="320" w:hanging="360"/>
      </w:pPr>
      <w:rPr>
        <w:rFonts w:hint="default"/>
        <w:b/>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31"/>
  </w:num>
  <w:num w:numId="2">
    <w:abstractNumId w:val="39"/>
  </w:num>
  <w:num w:numId="3">
    <w:abstractNumId w:val="23"/>
  </w:num>
  <w:num w:numId="4">
    <w:abstractNumId w:val="36"/>
  </w:num>
  <w:num w:numId="5">
    <w:abstractNumId w:val="24"/>
  </w:num>
  <w:num w:numId="6">
    <w:abstractNumId w:val="34"/>
  </w:num>
  <w:num w:numId="7">
    <w:abstractNumId w:val="19"/>
  </w:num>
  <w:num w:numId="8">
    <w:abstractNumId w:val="8"/>
  </w:num>
  <w:num w:numId="9">
    <w:abstractNumId w:val="25"/>
  </w:num>
  <w:num w:numId="10">
    <w:abstractNumId w:val="14"/>
  </w:num>
  <w:num w:numId="11">
    <w:abstractNumId w:val="33"/>
  </w:num>
  <w:num w:numId="12">
    <w:abstractNumId w:val="30"/>
  </w:num>
  <w:num w:numId="13">
    <w:abstractNumId w:val="11"/>
  </w:num>
  <w:num w:numId="14">
    <w:abstractNumId w:val="43"/>
  </w:num>
  <w:num w:numId="15">
    <w:abstractNumId w:val="29"/>
  </w:num>
  <w:num w:numId="16">
    <w:abstractNumId w:val="22"/>
  </w:num>
  <w:num w:numId="17">
    <w:abstractNumId w:val="13"/>
  </w:num>
  <w:num w:numId="18">
    <w:abstractNumId w:val="17"/>
  </w:num>
  <w:num w:numId="19">
    <w:abstractNumId w:val="37"/>
  </w:num>
  <w:num w:numId="20">
    <w:abstractNumId w:val="44"/>
  </w:num>
  <w:num w:numId="21">
    <w:abstractNumId w:val="27"/>
  </w:num>
  <w:num w:numId="22">
    <w:abstractNumId w:val="35"/>
  </w:num>
  <w:num w:numId="23">
    <w:abstractNumId w:val="46"/>
  </w:num>
  <w:num w:numId="24">
    <w:abstractNumId w:val="26"/>
  </w:num>
  <w:num w:numId="25">
    <w:abstractNumId w:val="7"/>
  </w:num>
  <w:num w:numId="26">
    <w:abstractNumId w:val="4"/>
  </w:num>
  <w:num w:numId="27">
    <w:abstractNumId w:val="3"/>
  </w:num>
  <w:num w:numId="28">
    <w:abstractNumId w:val="2"/>
  </w:num>
  <w:num w:numId="29">
    <w:abstractNumId w:val="1"/>
  </w:num>
  <w:num w:numId="30">
    <w:abstractNumId w:val="20"/>
  </w:num>
  <w:num w:numId="31">
    <w:abstractNumId w:val="12"/>
  </w:num>
  <w:num w:numId="32">
    <w:abstractNumId w:val="6"/>
  </w:num>
  <w:num w:numId="33">
    <w:abstractNumId w:val="5"/>
  </w:num>
  <w:num w:numId="34">
    <w:abstractNumId w:val="15"/>
  </w:num>
  <w:num w:numId="35">
    <w:abstractNumId w:val="41"/>
  </w:num>
  <w:num w:numId="36">
    <w:abstractNumId w:val="38"/>
  </w:num>
  <w:num w:numId="37">
    <w:abstractNumId w:val="24"/>
  </w:num>
  <w:num w:numId="38">
    <w:abstractNumId w:val="41"/>
  </w:num>
  <w:num w:numId="39">
    <w:abstractNumId w:val="20"/>
  </w:num>
  <w:num w:numId="40">
    <w:abstractNumId w:val="0"/>
  </w:num>
  <w:num w:numId="41">
    <w:abstractNumId w:val="16"/>
  </w:num>
  <w:num w:numId="42">
    <w:abstractNumId w:val="32"/>
  </w:num>
  <w:num w:numId="43">
    <w:abstractNumId w:val="40"/>
  </w:num>
  <w:num w:numId="44">
    <w:abstractNumId w:val="45"/>
  </w:num>
  <w:num w:numId="45">
    <w:abstractNumId w:val="21"/>
  </w:num>
  <w:num w:numId="46">
    <w:abstractNumId w:val="9"/>
  </w:num>
  <w:num w:numId="47">
    <w:abstractNumId w:val="10"/>
  </w:num>
  <w:num w:numId="48">
    <w:abstractNumId w:val="18"/>
  </w:num>
  <w:num w:numId="49">
    <w:abstractNumId w:val="42"/>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7E"/>
    <w:rsid w:val="00033B52"/>
    <w:rsid w:val="00095CCA"/>
    <w:rsid w:val="000A746C"/>
    <w:rsid w:val="000C1BAA"/>
    <w:rsid w:val="00102F65"/>
    <w:rsid w:val="0011063A"/>
    <w:rsid w:val="00150570"/>
    <w:rsid w:val="001707BC"/>
    <w:rsid w:val="0017744E"/>
    <w:rsid w:val="001A047C"/>
    <w:rsid w:val="001B5B5F"/>
    <w:rsid w:val="001C2430"/>
    <w:rsid w:val="001C3351"/>
    <w:rsid w:val="001D4CD2"/>
    <w:rsid w:val="00224235"/>
    <w:rsid w:val="002445A4"/>
    <w:rsid w:val="002942E3"/>
    <w:rsid w:val="00481415"/>
    <w:rsid w:val="00535DDC"/>
    <w:rsid w:val="005A6E7F"/>
    <w:rsid w:val="005B2827"/>
    <w:rsid w:val="005D0F36"/>
    <w:rsid w:val="005E3DF0"/>
    <w:rsid w:val="00613050"/>
    <w:rsid w:val="00694ECE"/>
    <w:rsid w:val="00730D85"/>
    <w:rsid w:val="0076114A"/>
    <w:rsid w:val="007A64F9"/>
    <w:rsid w:val="00841505"/>
    <w:rsid w:val="008639F5"/>
    <w:rsid w:val="008A2053"/>
    <w:rsid w:val="008C7E3D"/>
    <w:rsid w:val="00AC1E13"/>
    <w:rsid w:val="00AC7CBE"/>
    <w:rsid w:val="00AF725C"/>
    <w:rsid w:val="00B22B9E"/>
    <w:rsid w:val="00C03987"/>
    <w:rsid w:val="00C44578"/>
    <w:rsid w:val="00CE3321"/>
    <w:rsid w:val="00CE7F08"/>
    <w:rsid w:val="00CF2737"/>
    <w:rsid w:val="00D541E6"/>
    <w:rsid w:val="00D830C5"/>
    <w:rsid w:val="00D928A1"/>
    <w:rsid w:val="00DA2E2F"/>
    <w:rsid w:val="00EB0B67"/>
    <w:rsid w:val="00EC0727"/>
    <w:rsid w:val="00ED405B"/>
    <w:rsid w:val="00EF3B47"/>
    <w:rsid w:val="00F17D20"/>
    <w:rsid w:val="00F2317E"/>
    <w:rsid w:val="00F3238E"/>
    <w:rsid w:val="00F94139"/>
    <w:rsid w:val="00FD7BF5"/>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D830C5"/>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30C5"/>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841505"/>
    <w:pPr>
      <w:spacing w:before="0"/>
    </w:pPr>
    <w:rPr>
      <w:rFonts w:ascii="Tahoma" w:hAnsi="Tahoma" w:cs="Tahoma"/>
      <w:sz w:val="16"/>
      <w:szCs w:val="16"/>
    </w:rPr>
  </w:style>
  <w:style w:type="character" w:customStyle="1" w:styleId="BalloonTextChar">
    <w:name w:val="Balloon Text Char"/>
    <w:basedOn w:val="DefaultParagraphFont"/>
    <w:link w:val="BalloonText"/>
    <w:rsid w:val="00841505"/>
    <w:rPr>
      <w:rFonts w:ascii="Tahoma" w:hAnsi="Tahoma" w:cs="Tahoma"/>
      <w:sz w:val="16"/>
      <w:szCs w:val="16"/>
    </w:rPr>
  </w:style>
  <w:style w:type="paragraph" w:styleId="ListParagraph">
    <w:name w:val="List Paragraph"/>
    <w:basedOn w:val="Normal"/>
    <w:uiPriority w:val="34"/>
    <w:qFormat/>
    <w:rsid w:val="00D830C5"/>
    <w:pPr>
      <w:spacing w:before="0" w:after="200" w:line="276" w:lineRule="auto"/>
      <w:ind w:left="720"/>
      <w:contextualSpacing/>
    </w:pPr>
    <w:rPr>
      <w:rFonts w:asciiTheme="minorHAnsi" w:eastAsiaTheme="minorHAnsi" w:hAnsiTheme="minorHAnsi" w:cstheme="minorBidi"/>
      <w:szCs w:val="22"/>
      <w:lang w:val="en-GB"/>
    </w:rPr>
  </w:style>
  <w:style w:type="table" w:styleId="TableGrid">
    <w:name w:val="Table Grid"/>
    <w:basedOn w:val="TableNormal"/>
    <w:rsid w:val="00B2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928A1"/>
    <w:rPr>
      <w:sz w:val="16"/>
      <w:szCs w:val="16"/>
    </w:rPr>
  </w:style>
  <w:style w:type="paragraph" w:styleId="CommentText">
    <w:name w:val="annotation text"/>
    <w:basedOn w:val="Normal"/>
    <w:link w:val="CommentTextChar"/>
    <w:rsid w:val="00D928A1"/>
    <w:rPr>
      <w:sz w:val="20"/>
      <w:szCs w:val="20"/>
    </w:rPr>
  </w:style>
  <w:style w:type="character" w:customStyle="1" w:styleId="CommentTextChar">
    <w:name w:val="Comment Text Char"/>
    <w:basedOn w:val="DefaultParagraphFont"/>
    <w:link w:val="CommentText"/>
    <w:rsid w:val="00D928A1"/>
    <w:rPr>
      <w:rFonts w:ascii="Arial" w:hAnsi="Arial"/>
    </w:rPr>
  </w:style>
  <w:style w:type="paragraph" w:styleId="CommentSubject">
    <w:name w:val="annotation subject"/>
    <w:basedOn w:val="CommentText"/>
    <w:next w:val="CommentText"/>
    <w:link w:val="CommentSubjectChar"/>
    <w:rsid w:val="00D928A1"/>
    <w:rPr>
      <w:b/>
      <w:bCs/>
    </w:rPr>
  </w:style>
  <w:style w:type="character" w:customStyle="1" w:styleId="CommentSubjectChar">
    <w:name w:val="Comment Subject Char"/>
    <w:basedOn w:val="CommentTextChar"/>
    <w:link w:val="CommentSubject"/>
    <w:rsid w:val="00D928A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D830C5"/>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30C5"/>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841505"/>
    <w:pPr>
      <w:spacing w:before="0"/>
    </w:pPr>
    <w:rPr>
      <w:rFonts w:ascii="Tahoma" w:hAnsi="Tahoma" w:cs="Tahoma"/>
      <w:sz w:val="16"/>
      <w:szCs w:val="16"/>
    </w:rPr>
  </w:style>
  <w:style w:type="character" w:customStyle="1" w:styleId="BalloonTextChar">
    <w:name w:val="Balloon Text Char"/>
    <w:basedOn w:val="DefaultParagraphFont"/>
    <w:link w:val="BalloonText"/>
    <w:rsid w:val="00841505"/>
    <w:rPr>
      <w:rFonts w:ascii="Tahoma" w:hAnsi="Tahoma" w:cs="Tahoma"/>
      <w:sz w:val="16"/>
      <w:szCs w:val="16"/>
    </w:rPr>
  </w:style>
  <w:style w:type="paragraph" w:styleId="ListParagraph">
    <w:name w:val="List Paragraph"/>
    <w:basedOn w:val="Normal"/>
    <w:uiPriority w:val="34"/>
    <w:qFormat/>
    <w:rsid w:val="00D830C5"/>
    <w:pPr>
      <w:spacing w:before="0" w:after="200" w:line="276" w:lineRule="auto"/>
      <w:ind w:left="720"/>
      <w:contextualSpacing/>
    </w:pPr>
    <w:rPr>
      <w:rFonts w:asciiTheme="minorHAnsi" w:eastAsiaTheme="minorHAnsi" w:hAnsiTheme="minorHAnsi" w:cstheme="minorBidi"/>
      <w:szCs w:val="22"/>
      <w:lang w:val="en-GB"/>
    </w:rPr>
  </w:style>
  <w:style w:type="table" w:styleId="TableGrid">
    <w:name w:val="Table Grid"/>
    <w:basedOn w:val="TableNormal"/>
    <w:rsid w:val="00B2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928A1"/>
    <w:rPr>
      <w:sz w:val="16"/>
      <w:szCs w:val="16"/>
    </w:rPr>
  </w:style>
  <w:style w:type="paragraph" w:styleId="CommentText">
    <w:name w:val="annotation text"/>
    <w:basedOn w:val="Normal"/>
    <w:link w:val="CommentTextChar"/>
    <w:rsid w:val="00D928A1"/>
    <w:rPr>
      <w:sz w:val="20"/>
      <w:szCs w:val="20"/>
    </w:rPr>
  </w:style>
  <w:style w:type="character" w:customStyle="1" w:styleId="CommentTextChar">
    <w:name w:val="Comment Text Char"/>
    <w:basedOn w:val="DefaultParagraphFont"/>
    <w:link w:val="CommentText"/>
    <w:rsid w:val="00D928A1"/>
    <w:rPr>
      <w:rFonts w:ascii="Arial" w:hAnsi="Arial"/>
    </w:rPr>
  </w:style>
  <w:style w:type="paragraph" w:styleId="CommentSubject">
    <w:name w:val="annotation subject"/>
    <w:basedOn w:val="CommentText"/>
    <w:next w:val="CommentText"/>
    <w:link w:val="CommentSubjectChar"/>
    <w:rsid w:val="00D928A1"/>
    <w:rPr>
      <w:b/>
      <w:bCs/>
    </w:rPr>
  </w:style>
  <w:style w:type="character" w:customStyle="1" w:styleId="CommentSubjectChar">
    <w:name w:val="Comment Subject Char"/>
    <w:basedOn w:val="CommentTextChar"/>
    <w:link w:val="CommentSubject"/>
    <w:rsid w:val="00D928A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35746">
      <w:bodyDiv w:val="1"/>
      <w:marLeft w:val="0"/>
      <w:marRight w:val="0"/>
      <w:marTop w:val="0"/>
      <w:marBottom w:val="0"/>
      <w:divBdr>
        <w:top w:val="none" w:sz="0" w:space="0" w:color="auto"/>
        <w:left w:val="none" w:sz="0" w:space="0" w:color="auto"/>
        <w:bottom w:val="none" w:sz="0" w:space="0" w:color="auto"/>
        <w:right w:val="none" w:sz="0" w:space="0" w:color="auto"/>
      </w:divBdr>
      <w:divsChild>
        <w:div w:id="1912082590">
          <w:marLeft w:val="432"/>
          <w:marRight w:val="0"/>
          <w:marTop w:val="125"/>
          <w:marBottom w:val="0"/>
          <w:divBdr>
            <w:top w:val="none" w:sz="0" w:space="0" w:color="auto"/>
            <w:left w:val="none" w:sz="0" w:space="0" w:color="auto"/>
            <w:bottom w:val="none" w:sz="0" w:space="0" w:color="auto"/>
            <w:right w:val="none" w:sz="0" w:space="0" w:color="auto"/>
          </w:divBdr>
        </w:div>
        <w:div w:id="535701224">
          <w:marLeft w:val="432"/>
          <w:marRight w:val="0"/>
          <w:marTop w:val="125"/>
          <w:marBottom w:val="0"/>
          <w:divBdr>
            <w:top w:val="none" w:sz="0" w:space="0" w:color="auto"/>
            <w:left w:val="none" w:sz="0" w:space="0" w:color="auto"/>
            <w:bottom w:val="none" w:sz="0" w:space="0" w:color="auto"/>
            <w:right w:val="none" w:sz="0" w:space="0" w:color="auto"/>
          </w:divBdr>
        </w:div>
        <w:div w:id="2081629550">
          <w:marLeft w:val="432"/>
          <w:marRight w:val="0"/>
          <w:marTop w:val="125"/>
          <w:marBottom w:val="0"/>
          <w:divBdr>
            <w:top w:val="none" w:sz="0" w:space="0" w:color="auto"/>
            <w:left w:val="none" w:sz="0" w:space="0" w:color="auto"/>
            <w:bottom w:val="none" w:sz="0" w:space="0" w:color="auto"/>
            <w:right w:val="none" w:sz="0" w:space="0" w:color="auto"/>
          </w:divBdr>
        </w:div>
        <w:div w:id="1714036519">
          <w:marLeft w:val="432"/>
          <w:marRight w:val="0"/>
          <w:marTop w:val="12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erve.gazeau\Desktop\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IFRC-generic-template-EN.dotx</Template>
  <TotalTime>10</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 Gazeau</dc:creator>
  <cp:lastModifiedBy>Lucia CIPULLO</cp:lastModifiedBy>
  <cp:revision>3</cp:revision>
  <cp:lastPrinted>2014-10-03T06:56:00Z</cp:lastPrinted>
  <dcterms:created xsi:type="dcterms:W3CDTF">2014-10-13T08:12:00Z</dcterms:created>
  <dcterms:modified xsi:type="dcterms:W3CDTF">2014-10-13T08:21:00Z</dcterms:modified>
</cp:coreProperties>
</file>