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AD" w:rsidRPr="0064663E" w:rsidRDefault="00DC7335" w:rsidP="00E765B0">
      <w:pPr>
        <w:spacing w:after="0" w:line="240" w:lineRule="auto"/>
        <w:jc w:val="center"/>
        <w:rPr>
          <w:sz w:val="32"/>
        </w:rPr>
      </w:pPr>
      <w:r w:rsidRPr="00DC7335">
        <w:rPr>
          <w:color w:val="FF0000"/>
          <w:sz w:val="32"/>
        </w:rPr>
        <w:t xml:space="preserve">Comments to </w:t>
      </w:r>
      <w:r w:rsidR="005D6E19" w:rsidRPr="0064663E">
        <w:rPr>
          <w:sz w:val="32"/>
        </w:rPr>
        <w:t>CONCEPT PAPER</w:t>
      </w:r>
    </w:p>
    <w:p w:rsidR="005D6E19" w:rsidRDefault="005D6E19" w:rsidP="00E765B0">
      <w:pPr>
        <w:spacing w:after="0" w:line="240" w:lineRule="auto"/>
        <w:jc w:val="center"/>
      </w:pPr>
      <w:r>
        <w:t>SOUTHEAST ASIA REGION RC/RC NATIONAL SOCIETIES WORKSHOP</w:t>
      </w:r>
    </w:p>
    <w:p w:rsidR="00B74B22" w:rsidRDefault="005D6E19" w:rsidP="00E765B0">
      <w:pPr>
        <w:spacing w:after="0" w:line="240" w:lineRule="auto"/>
        <w:jc w:val="center"/>
      </w:pPr>
      <w:r>
        <w:t>RE: REACTIVATING THE REGIONAL DISASTER RESPONSE TEAM (RDRT)</w:t>
      </w:r>
    </w:p>
    <w:p w:rsidR="00B74B22" w:rsidRDefault="00B74B22" w:rsidP="007D2C8A">
      <w:pPr>
        <w:spacing w:after="0" w:line="240" w:lineRule="auto"/>
      </w:pPr>
    </w:p>
    <w:p w:rsidR="00B74B22" w:rsidRDefault="00B74B22" w:rsidP="007D2C8A">
      <w:pPr>
        <w:spacing w:after="0" w:line="240" w:lineRule="auto"/>
      </w:pPr>
      <w:r>
        <w:t>I. Background:</w:t>
      </w:r>
    </w:p>
    <w:p w:rsidR="00035D61" w:rsidRDefault="00035D61" w:rsidP="007D2C8A">
      <w:pPr>
        <w:spacing w:after="0" w:line="240" w:lineRule="auto"/>
      </w:pPr>
    </w:p>
    <w:p w:rsidR="00B74B22" w:rsidRDefault="00B74B22" w:rsidP="00035D61">
      <w:pPr>
        <w:spacing w:after="0" w:line="240" w:lineRule="auto"/>
        <w:jc w:val="both"/>
      </w:pPr>
      <w:r>
        <w:t xml:space="preserve">Southeast Asia (SEA) </w:t>
      </w:r>
      <w:r w:rsidR="006D4253">
        <w:t xml:space="preserve">region is composed of 11 countries namely Philippines, Indonesia, Malaysia, Singapore, Timor </w:t>
      </w:r>
      <w:proofErr w:type="spellStart"/>
      <w:r w:rsidR="006D4253">
        <w:t>Leste</w:t>
      </w:r>
      <w:proofErr w:type="spellEnd"/>
      <w:r w:rsidR="006D4253">
        <w:t xml:space="preserve">, Brunei Darussalam, Lao, Cambodia, Cambodia, Vietnam and Thailand. Each of these countries have somehow link to one another, although not all are sharing the same religion, culture, and practices. But within this region, a good cooperation and collaboration has been established. It is also a region known of having various hazards are present such as volcanoes, typhoons, earthquake, floods, landslides, armed conflict, and epidemic. </w:t>
      </w:r>
      <w:r w:rsidR="00CE631E">
        <w:t>Nevertheless, the Southeast Asian Region has a strong cooperation agreement through the ASEAN represented by each government of the country. Within this region there is also existence of a strong Red Cross and Red Crescent Movement. Well recognized by the respective country as an auxiliary to its government, working within the Seven Fundamental Principles of the RC/RC Movement, and providing Humanitarian Services to the most vulnerable.</w:t>
      </w:r>
    </w:p>
    <w:p w:rsidR="00E80608" w:rsidRDefault="00E80608" w:rsidP="00035D61">
      <w:pPr>
        <w:spacing w:after="0" w:line="240" w:lineRule="auto"/>
        <w:jc w:val="both"/>
      </w:pPr>
    </w:p>
    <w:p w:rsidR="007D2C8A" w:rsidRDefault="00CE631E" w:rsidP="00035D61">
      <w:pPr>
        <w:spacing w:after="0" w:line="240" w:lineRule="auto"/>
        <w:jc w:val="both"/>
      </w:pPr>
      <w:r>
        <w:t>A total of</w:t>
      </w:r>
      <w:r w:rsidR="006D4253">
        <w:t xml:space="preserve"> </w:t>
      </w:r>
      <w:r w:rsidR="0064663E">
        <w:t xml:space="preserve">11 Red Cross and Red Crescent (RC/RC) Societies </w:t>
      </w:r>
      <w:r>
        <w:t xml:space="preserve">also </w:t>
      </w:r>
      <w:r w:rsidR="0064663E">
        <w:t xml:space="preserve">working collaboratively and partnership to support each </w:t>
      </w:r>
      <w:r>
        <w:t>National Society</w:t>
      </w:r>
      <w:r w:rsidR="0064663E">
        <w:t xml:space="preserve"> (NS) to provide effective and timely humanitarian services to the most vulnerable in times of disaster. In 2003, the first batch of the Regional Disaster Response Team (RDRT) was conducted </w:t>
      </w:r>
      <w:r w:rsidR="00941A05">
        <w:t xml:space="preserve">in Malang, Indonesia </w:t>
      </w:r>
      <w:r w:rsidR="0064663E">
        <w:t xml:space="preserve">and </w:t>
      </w:r>
      <w:r w:rsidR="00941A05">
        <w:t xml:space="preserve">in the same time was formally </w:t>
      </w:r>
      <w:r w:rsidR="0064663E">
        <w:t>recognized by the SEA RC/RC NS</w:t>
      </w:r>
      <w:r w:rsidR="00941A05">
        <w:t>. Through the years, the RDRT became b</w:t>
      </w:r>
      <w:r w:rsidR="007D2C8A">
        <w:t xml:space="preserve">igger and several trainings were </w:t>
      </w:r>
      <w:r w:rsidR="00941A05">
        <w:t>conducted afterwards up to 2011 (which is the 12</w:t>
      </w:r>
      <w:r w:rsidR="00941A05" w:rsidRPr="00941A05">
        <w:rPr>
          <w:vertAlign w:val="superscript"/>
        </w:rPr>
        <w:t>th</w:t>
      </w:r>
      <w:r w:rsidR="00941A05">
        <w:t xml:space="preserve"> batch of the RDRT Trainings held in Bandung, Indonesia). </w:t>
      </w:r>
      <w:r w:rsidR="007D2C8A">
        <w:t xml:space="preserve">It is also been proven the effectiveness and importance of the existence of the RDRT in the Southeast Asia during major disaster that hit the countries within the region either man-made and/or natural disaster events. It is also well tested that RDRT achieved its primary goal to exist by supporting the disaster stricken country where the NS requiring support to manage such disaster. </w:t>
      </w:r>
    </w:p>
    <w:p w:rsidR="007D2C8A" w:rsidRDefault="007D2C8A" w:rsidP="00035D61">
      <w:pPr>
        <w:spacing w:after="0" w:line="240" w:lineRule="auto"/>
        <w:jc w:val="both"/>
      </w:pPr>
    </w:p>
    <w:p w:rsidR="007D2C8A" w:rsidRDefault="007D2C8A" w:rsidP="00035D61">
      <w:pPr>
        <w:spacing w:after="0" w:line="240" w:lineRule="auto"/>
        <w:jc w:val="both"/>
      </w:pPr>
      <w:r>
        <w:t>The following disaster events were few among the RDRT accomplishments and missions:</w:t>
      </w:r>
    </w:p>
    <w:p w:rsidR="00712619" w:rsidRPr="007D2C8A" w:rsidRDefault="00CE631E" w:rsidP="00035D61">
      <w:pPr>
        <w:pStyle w:val="ListParagraph"/>
        <w:numPr>
          <w:ilvl w:val="0"/>
          <w:numId w:val="2"/>
        </w:numPr>
        <w:jc w:val="both"/>
      </w:pPr>
      <w:r w:rsidRPr="007D2C8A">
        <w:rPr>
          <w:lang w:val="en-US"/>
        </w:rPr>
        <w:t>2005 – 1</w:t>
      </w:r>
      <w:r w:rsidRPr="007D2C8A">
        <w:rPr>
          <w:vertAlign w:val="superscript"/>
          <w:lang w:val="en-US"/>
        </w:rPr>
        <w:t>st</w:t>
      </w:r>
      <w:r w:rsidRPr="007D2C8A">
        <w:rPr>
          <w:lang w:val="en-US"/>
        </w:rPr>
        <w:t xml:space="preserve"> RDRT Southeast Asia deployment in Pakistan Earthquake; </w:t>
      </w:r>
    </w:p>
    <w:p w:rsidR="007D2C8A" w:rsidRPr="007D2C8A" w:rsidRDefault="00CE631E" w:rsidP="00035D61">
      <w:pPr>
        <w:pStyle w:val="ListParagraph"/>
        <w:numPr>
          <w:ilvl w:val="0"/>
          <w:numId w:val="2"/>
        </w:numPr>
        <w:jc w:val="both"/>
      </w:pPr>
      <w:r w:rsidRPr="007D2C8A">
        <w:rPr>
          <w:lang w:val="en-US"/>
        </w:rPr>
        <w:t>2006 – May, East Timor Typhoon and Flooding (embedded delegate</w:t>
      </w:r>
      <w:r w:rsidR="00035D61">
        <w:rPr>
          <w:lang w:val="en-US"/>
        </w:rPr>
        <w:t xml:space="preserve"> to IFRC</w:t>
      </w:r>
      <w:r w:rsidRPr="007D2C8A">
        <w:rPr>
          <w:lang w:val="en-US"/>
        </w:rPr>
        <w:t>)</w:t>
      </w:r>
      <w:r w:rsidR="007D2C8A">
        <w:rPr>
          <w:lang w:val="en-US"/>
        </w:rPr>
        <w:t>;</w:t>
      </w:r>
    </w:p>
    <w:p w:rsidR="007D2C8A" w:rsidRDefault="007D2C8A" w:rsidP="00035D61">
      <w:pPr>
        <w:pStyle w:val="ListParagraph"/>
        <w:jc w:val="both"/>
        <w:rPr>
          <w:lang w:val="en-US"/>
        </w:rPr>
      </w:pPr>
      <w:r>
        <w:rPr>
          <w:lang w:val="en-US"/>
        </w:rPr>
        <w:t xml:space="preserve">              </w:t>
      </w:r>
      <w:r w:rsidRPr="007D2C8A">
        <w:rPr>
          <w:lang w:val="en-US"/>
        </w:rPr>
        <w:t>June, Saint Bernard Landslide, Southern Leyte, Philippines</w:t>
      </w:r>
      <w:r>
        <w:rPr>
          <w:lang w:val="en-US"/>
        </w:rPr>
        <w:t>;</w:t>
      </w:r>
    </w:p>
    <w:p w:rsidR="007D2C8A" w:rsidRPr="007D2C8A" w:rsidRDefault="007D2C8A" w:rsidP="00035D61">
      <w:pPr>
        <w:pStyle w:val="ListParagraph"/>
        <w:jc w:val="both"/>
      </w:pPr>
      <w:r>
        <w:rPr>
          <w:lang w:val="en-US"/>
        </w:rPr>
        <w:t xml:space="preserve">             </w:t>
      </w:r>
      <w:r w:rsidRPr="007D2C8A">
        <w:rPr>
          <w:lang w:val="en-US"/>
        </w:rPr>
        <w:t>December, Tsunami Banda Ache, Indonesia</w:t>
      </w:r>
      <w:r>
        <w:rPr>
          <w:lang w:val="en-US"/>
        </w:rPr>
        <w:t>;</w:t>
      </w:r>
    </w:p>
    <w:p w:rsidR="007D2C8A" w:rsidRPr="007D2C8A" w:rsidRDefault="00CE631E" w:rsidP="00035D61">
      <w:pPr>
        <w:pStyle w:val="ListParagraph"/>
        <w:numPr>
          <w:ilvl w:val="0"/>
          <w:numId w:val="2"/>
        </w:numPr>
        <w:jc w:val="both"/>
      </w:pPr>
      <w:r w:rsidRPr="007D2C8A">
        <w:rPr>
          <w:lang w:val="en-US"/>
        </w:rPr>
        <w:t>2</w:t>
      </w:r>
      <w:r w:rsidR="007D2C8A">
        <w:rPr>
          <w:lang w:val="en-US"/>
        </w:rPr>
        <w:t xml:space="preserve">008 – Typhoon </w:t>
      </w:r>
      <w:proofErr w:type="spellStart"/>
      <w:r w:rsidR="007D2C8A">
        <w:rPr>
          <w:lang w:val="en-US"/>
        </w:rPr>
        <w:t>Nargis</w:t>
      </w:r>
      <w:proofErr w:type="spellEnd"/>
      <w:r w:rsidR="007D2C8A">
        <w:rPr>
          <w:lang w:val="en-US"/>
        </w:rPr>
        <w:t xml:space="preserve"> in Myanmar;</w:t>
      </w:r>
      <w:r w:rsidRPr="007D2C8A">
        <w:rPr>
          <w:lang w:val="en-US"/>
        </w:rPr>
        <w:t xml:space="preserve"> </w:t>
      </w:r>
      <w:r w:rsidR="007D2C8A" w:rsidRPr="007D2C8A">
        <w:t xml:space="preserve">           </w:t>
      </w:r>
    </w:p>
    <w:p w:rsidR="007D2C8A" w:rsidRPr="007D2C8A" w:rsidRDefault="00CE631E" w:rsidP="00035D61">
      <w:pPr>
        <w:pStyle w:val="ListParagraph"/>
        <w:numPr>
          <w:ilvl w:val="0"/>
          <w:numId w:val="2"/>
        </w:numPr>
        <w:jc w:val="both"/>
      </w:pPr>
      <w:r w:rsidRPr="007D2C8A">
        <w:rPr>
          <w:lang w:val="en-US"/>
        </w:rPr>
        <w:t xml:space="preserve">2007 – 2010 various typhoon disaster in the Philippines (includes </w:t>
      </w:r>
      <w:r w:rsidRPr="007D2C8A">
        <w:t xml:space="preserve">Typhoon </w:t>
      </w:r>
      <w:proofErr w:type="spellStart"/>
      <w:r w:rsidR="007D2C8A" w:rsidRPr="007D2C8A">
        <w:t>Fengshen</w:t>
      </w:r>
      <w:proofErr w:type="spellEnd"/>
      <w:r w:rsidR="007D2C8A" w:rsidRPr="007D2C8A">
        <w:t xml:space="preserve">, </w:t>
      </w:r>
      <w:proofErr w:type="spellStart"/>
      <w:r w:rsidR="007D2C8A" w:rsidRPr="007D2C8A">
        <w:t>Ketsana</w:t>
      </w:r>
      <w:proofErr w:type="spellEnd"/>
      <w:r w:rsidR="007D2C8A" w:rsidRPr="007D2C8A">
        <w:t xml:space="preserve"> and </w:t>
      </w:r>
      <w:proofErr w:type="spellStart"/>
      <w:r w:rsidR="007D2C8A" w:rsidRPr="007D2C8A">
        <w:t>Megi</w:t>
      </w:r>
      <w:proofErr w:type="spellEnd"/>
      <w:r w:rsidR="007D2C8A" w:rsidRPr="007D2C8A">
        <w:t xml:space="preserve"> in the Philippines)</w:t>
      </w:r>
      <w:r w:rsidR="007D2C8A">
        <w:t xml:space="preserve">;  </w:t>
      </w:r>
    </w:p>
    <w:p w:rsidR="007D2C8A" w:rsidRPr="007D2C8A" w:rsidRDefault="007D2C8A" w:rsidP="00035D61">
      <w:pPr>
        <w:pStyle w:val="ListParagraph"/>
        <w:numPr>
          <w:ilvl w:val="0"/>
          <w:numId w:val="2"/>
        </w:numPr>
        <w:jc w:val="both"/>
      </w:pPr>
      <w:r w:rsidRPr="007D2C8A">
        <w:t>2010 – Pakistan Flood</w:t>
      </w:r>
      <w:r>
        <w:t>; and</w:t>
      </w:r>
    </w:p>
    <w:p w:rsidR="007D2C8A" w:rsidRPr="007D2C8A" w:rsidRDefault="007D2C8A" w:rsidP="00035D61">
      <w:pPr>
        <w:pStyle w:val="ListParagraph"/>
        <w:numPr>
          <w:ilvl w:val="0"/>
          <w:numId w:val="2"/>
        </w:numPr>
        <w:jc w:val="both"/>
      </w:pPr>
      <w:r>
        <w:t xml:space="preserve">Latest was the “Super Typhoon Haiyan” that buttered the Central </w:t>
      </w:r>
      <w:proofErr w:type="spellStart"/>
      <w:r>
        <w:t>Visayas</w:t>
      </w:r>
      <w:proofErr w:type="spellEnd"/>
      <w:r>
        <w:t xml:space="preserve"> areas of the Philippines last 08 November 2013. </w:t>
      </w:r>
    </w:p>
    <w:p w:rsidR="00035D61" w:rsidRDefault="00035D61" w:rsidP="00035D61">
      <w:pPr>
        <w:jc w:val="both"/>
      </w:pPr>
      <w:r>
        <w:t>As time passes, the RDRT was given less attention and no follow-up activities were made</w:t>
      </w:r>
      <w:r w:rsidR="006D4253">
        <w:t xml:space="preserve"> by each NS</w:t>
      </w:r>
      <w:r>
        <w:t>. Through the first initiative made under the RDRT, each NS concentrate</w:t>
      </w:r>
      <w:r w:rsidR="006D4253">
        <w:t>d</w:t>
      </w:r>
      <w:r>
        <w:t xml:space="preserve"> on their own</w:t>
      </w:r>
      <w:r w:rsidR="006D4253">
        <w:t>ed priorities and less steps</w:t>
      </w:r>
      <w:r>
        <w:t xml:space="preserve"> was conducted. </w:t>
      </w:r>
      <w:r w:rsidR="006D4253">
        <w:t>Perhaps this is</w:t>
      </w:r>
      <w:r>
        <w:t xml:space="preserve"> due to the changes of time and emerging new concept such as the merging of the two three sectors such as Disaster Management, Health, and Organizational </w:t>
      </w:r>
      <w:r>
        <w:lastRenderedPageBreak/>
        <w:t xml:space="preserve">Development (OD) into one as Community Safety and Resilience (CSR), and </w:t>
      </w:r>
      <w:r w:rsidR="006D4253">
        <w:t xml:space="preserve">also with each country individual constraints </w:t>
      </w:r>
      <w:r>
        <w:t>within its respective NS.</w:t>
      </w:r>
    </w:p>
    <w:p w:rsidR="00035D61" w:rsidRDefault="00035D61" w:rsidP="00035D61">
      <w:pPr>
        <w:jc w:val="both"/>
      </w:pPr>
      <w:r>
        <w:t xml:space="preserve">In February 2012, where the first formalization of the CSR and the three sectors met held in Myanmar and discuss to have each sector a common road map for resilience. One of the major concerned raised among the Disaster Management of each NS is the </w:t>
      </w:r>
      <w:r w:rsidR="00BB205F">
        <w:t xml:space="preserve">RDRT. It is in this meeting was initially agreed to revisit and look into the current status of each NS on the </w:t>
      </w:r>
      <w:commentRangeStart w:id="0"/>
      <w:r w:rsidR="00BB205F">
        <w:t>RDRT.</w:t>
      </w:r>
      <w:commentRangeEnd w:id="0"/>
      <w:r w:rsidR="00DC7335">
        <w:rPr>
          <w:rStyle w:val="CommentReference"/>
        </w:rPr>
        <w:commentReference w:id="0"/>
      </w:r>
      <w:r w:rsidR="00BB205F">
        <w:t xml:space="preserve"> </w:t>
      </w:r>
    </w:p>
    <w:p w:rsidR="00B74B22" w:rsidRDefault="006D4253" w:rsidP="00992B32">
      <w:pPr>
        <w:spacing w:after="0" w:line="240" w:lineRule="auto"/>
        <w:jc w:val="both"/>
      </w:pPr>
      <w:r>
        <w:t>F</w:t>
      </w:r>
      <w:r w:rsidR="00B74B22">
        <w:t xml:space="preserve">ollowing the IFRC Regional CSR meeting last 16 – 18 September 2014 held in Bangkok, Thailand participated by the SEA National Societies namely Philippines, Indonesia, Thailand, Vietnam, Cambodia, Lao, Myanmar, Timor </w:t>
      </w:r>
      <w:proofErr w:type="spellStart"/>
      <w:r w:rsidR="00B74B22">
        <w:t>Leste</w:t>
      </w:r>
      <w:proofErr w:type="spellEnd"/>
      <w:r w:rsidR="00B74B22">
        <w:t>, Singapore, and Malaysia. Among the discussion is the reactivation of the R</w:t>
      </w:r>
      <w:r w:rsidR="0064663E">
        <w:t>DRT</w:t>
      </w:r>
      <w:r w:rsidR="00B74B22">
        <w:t xml:space="preserve"> in the region to be supported by the IFRC SEA Regional Office. Among the discussions, the following was agreed among the RC/RC National Societies of the region:</w:t>
      </w:r>
    </w:p>
    <w:p w:rsidR="00B74B22" w:rsidRDefault="005D6E19" w:rsidP="00992B32">
      <w:pPr>
        <w:pStyle w:val="ListParagraph"/>
        <w:numPr>
          <w:ilvl w:val="0"/>
          <w:numId w:val="1"/>
        </w:numPr>
        <w:spacing w:after="0" w:line="240" w:lineRule="auto"/>
        <w:jc w:val="both"/>
      </w:pPr>
      <w:r>
        <w:t>RDRT concept be put into the NS responsibilities to recruit, train, and deploy;</w:t>
      </w:r>
    </w:p>
    <w:p w:rsidR="005D6E19" w:rsidRDefault="005D6E19" w:rsidP="00992B32">
      <w:pPr>
        <w:pStyle w:val="ListParagraph"/>
        <w:numPr>
          <w:ilvl w:val="0"/>
          <w:numId w:val="1"/>
        </w:numPr>
        <w:spacing w:after="0" w:line="240" w:lineRule="auto"/>
        <w:jc w:val="both"/>
      </w:pPr>
      <w:r>
        <w:t>Each NS to adopt the National Disaster Response Team (NDRT) as pre-requisite to be recognize as RDRT members;</w:t>
      </w:r>
    </w:p>
    <w:p w:rsidR="005D6E19" w:rsidRDefault="005D6E19" w:rsidP="00992B32">
      <w:pPr>
        <w:pStyle w:val="ListParagraph"/>
        <w:numPr>
          <w:ilvl w:val="0"/>
          <w:numId w:val="1"/>
        </w:numPr>
        <w:spacing w:after="0" w:line="240" w:lineRule="auto"/>
        <w:jc w:val="both"/>
      </w:pPr>
      <w:r>
        <w:t xml:space="preserve">Develop RDRT </w:t>
      </w:r>
      <w:commentRangeStart w:id="2"/>
      <w:r>
        <w:t>standard operating procedures,</w:t>
      </w:r>
      <w:commentRangeEnd w:id="2"/>
      <w:r w:rsidR="00DC7335">
        <w:rPr>
          <w:rStyle w:val="CommentReference"/>
        </w:rPr>
        <w:commentReference w:id="2"/>
      </w:r>
      <w:r>
        <w:t xml:space="preserve"> terms of reference, and disaster response and contingency plan for the region;</w:t>
      </w:r>
    </w:p>
    <w:p w:rsidR="005D6E19" w:rsidRDefault="005D6E19" w:rsidP="00992B32">
      <w:pPr>
        <w:pStyle w:val="ListParagraph"/>
        <w:numPr>
          <w:ilvl w:val="0"/>
          <w:numId w:val="1"/>
        </w:numPr>
        <w:spacing w:after="0" w:line="240" w:lineRule="auto"/>
        <w:jc w:val="both"/>
      </w:pPr>
      <w:r>
        <w:t xml:space="preserve">Develop a standard curriculum for </w:t>
      </w:r>
      <w:commentRangeStart w:id="3"/>
      <w:r>
        <w:t>NDRT</w:t>
      </w:r>
      <w:commentRangeEnd w:id="3"/>
      <w:r w:rsidR="00DC7335">
        <w:rPr>
          <w:rStyle w:val="CommentReference"/>
        </w:rPr>
        <w:commentReference w:id="3"/>
      </w:r>
      <w:r>
        <w:t>, to be adopted by all NS of SEA region;</w:t>
      </w:r>
    </w:p>
    <w:p w:rsidR="005D6E19" w:rsidRDefault="005D6E19" w:rsidP="00992B32">
      <w:pPr>
        <w:pStyle w:val="ListParagraph"/>
        <w:numPr>
          <w:ilvl w:val="0"/>
          <w:numId w:val="1"/>
        </w:numPr>
        <w:spacing w:after="0" w:line="240" w:lineRule="auto"/>
        <w:jc w:val="both"/>
      </w:pPr>
      <w:r>
        <w:t>Each NS will appoint a RDRT focal person (to be lead by the Disaster Management and alternate lead from Health and OD/other department as may assign by each NS Management);</w:t>
      </w:r>
    </w:p>
    <w:p w:rsidR="005D6E19" w:rsidRDefault="005D6E19" w:rsidP="00992B32">
      <w:pPr>
        <w:pStyle w:val="ListParagraph"/>
        <w:numPr>
          <w:ilvl w:val="0"/>
          <w:numId w:val="1"/>
        </w:numPr>
        <w:spacing w:after="0" w:line="240" w:lineRule="auto"/>
        <w:jc w:val="both"/>
      </w:pPr>
      <w:r>
        <w:t>IFRC SEA region will</w:t>
      </w:r>
      <w:commentRangeStart w:id="4"/>
      <w:r>
        <w:t xml:space="preserve"> assign focal person </w:t>
      </w:r>
      <w:commentRangeEnd w:id="4"/>
      <w:r w:rsidR="00DC7335">
        <w:rPr>
          <w:rStyle w:val="CommentReference"/>
        </w:rPr>
        <w:commentReference w:id="4"/>
      </w:r>
      <w:r>
        <w:t>to support the NS;</w:t>
      </w:r>
    </w:p>
    <w:p w:rsidR="0064663E" w:rsidRDefault="0064663E" w:rsidP="00992B32">
      <w:pPr>
        <w:pStyle w:val="ListParagraph"/>
        <w:numPr>
          <w:ilvl w:val="0"/>
          <w:numId w:val="1"/>
        </w:numPr>
        <w:spacing w:after="0" w:line="240" w:lineRule="auto"/>
        <w:jc w:val="both"/>
      </w:pPr>
      <w:r>
        <w:t>Develop a standard agreement for all SEA RC/RC NS to sign to ensure support to NDRT and RDRT is within each NS priorities;</w:t>
      </w:r>
    </w:p>
    <w:p w:rsidR="005D6E19" w:rsidRDefault="005D6E19" w:rsidP="00992B32">
      <w:pPr>
        <w:pStyle w:val="ListParagraph"/>
        <w:numPr>
          <w:ilvl w:val="0"/>
          <w:numId w:val="1"/>
        </w:numPr>
        <w:spacing w:after="0" w:line="240" w:lineRule="auto"/>
        <w:jc w:val="both"/>
      </w:pPr>
      <w:r>
        <w:t>Conduct of inventory of all NS Disaster Response assets, equipment, and manpower for RDRT; and</w:t>
      </w:r>
    </w:p>
    <w:p w:rsidR="005D6E19" w:rsidRDefault="005D6E19" w:rsidP="00992B32">
      <w:pPr>
        <w:pStyle w:val="ListParagraph"/>
        <w:numPr>
          <w:ilvl w:val="0"/>
          <w:numId w:val="1"/>
        </w:numPr>
        <w:spacing w:after="0" w:line="240" w:lineRule="auto"/>
        <w:jc w:val="both"/>
      </w:pPr>
      <w:r>
        <w:t xml:space="preserve">Conduct of </w:t>
      </w:r>
      <w:commentRangeStart w:id="5"/>
      <w:r>
        <w:t>RDRT Master Training</w:t>
      </w:r>
      <w:commentRangeEnd w:id="5"/>
      <w:r w:rsidR="00DC7335">
        <w:rPr>
          <w:rStyle w:val="CommentReference"/>
        </w:rPr>
        <w:commentReference w:id="5"/>
      </w:r>
      <w:r>
        <w:t>.</w:t>
      </w:r>
    </w:p>
    <w:p w:rsidR="00992B32" w:rsidRDefault="00992B32" w:rsidP="00992B32">
      <w:pPr>
        <w:spacing w:after="0" w:line="240" w:lineRule="auto"/>
        <w:jc w:val="both"/>
      </w:pPr>
    </w:p>
    <w:p w:rsidR="005D6E19" w:rsidRDefault="005D6E19" w:rsidP="00992B32">
      <w:pPr>
        <w:spacing w:after="0" w:line="240" w:lineRule="auto"/>
        <w:jc w:val="both"/>
      </w:pPr>
      <w:r>
        <w:t xml:space="preserve">Part of this agreement is to have a follow-up </w:t>
      </w:r>
      <w:r w:rsidR="00485B81">
        <w:t>2-day workshop to discuss and work on the finalization of the above agreements in particular with the standard operating procedures, terms of reference, NDRT curriculum, and agreed on the final documents and presentation in preparation for the SEA NS Leadership meeting to be held on July 2015 (no tentative dates and venue).</w:t>
      </w:r>
    </w:p>
    <w:p w:rsidR="00485B81" w:rsidRDefault="00485B81" w:rsidP="00992B32">
      <w:pPr>
        <w:spacing w:after="0" w:line="240" w:lineRule="auto"/>
        <w:jc w:val="both"/>
      </w:pPr>
    </w:p>
    <w:p w:rsidR="00992B32" w:rsidRDefault="00992B32" w:rsidP="00992B32">
      <w:pPr>
        <w:spacing w:after="0" w:line="240" w:lineRule="auto"/>
        <w:jc w:val="both"/>
      </w:pPr>
      <w:r>
        <w:t>Thus, this concept paper will describe the proposed two-day workshop to be participated by selected NS and its respective Head or representative from the Disaster Management, Health and OD.</w:t>
      </w:r>
    </w:p>
    <w:p w:rsidR="00992B32" w:rsidRDefault="00992B32" w:rsidP="00992B32">
      <w:pPr>
        <w:spacing w:after="0" w:line="240" w:lineRule="auto"/>
        <w:jc w:val="both"/>
      </w:pPr>
    </w:p>
    <w:p w:rsidR="00992B32" w:rsidRDefault="00992B32" w:rsidP="00992B32">
      <w:pPr>
        <w:spacing w:after="0" w:line="240" w:lineRule="auto"/>
        <w:jc w:val="both"/>
      </w:pPr>
      <w:r>
        <w:t>II. Goal and Objectives</w:t>
      </w:r>
    </w:p>
    <w:p w:rsidR="00992B32" w:rsidRDefault="00992B32" w:rsidP="00992B32">
      <w:pPr>
        <w:spacing w:after="0" w:line="240" w:lineRule="auto"/>
        <w:jc w:val="both"/>
      </w:pPr>
    </w:p>
    <w:p w:rsidR="00992B32" w:rsidRDefault="00992B32" w:rsidP="00992B32">
      <w:pPr>
        <w:spacing w:after="0" w:line="240" w:lineRule="auto"/>
        <w:jc w:val="both"/>
      </w:pPr>
      <w:r>
        <w:t>The plan two-day workshop aim to achieve the following goal and specific objectives:</w:t>
      </w:r>
    </w:p>
    <w:p w:rsidR="00992B32" w:rsidRDefault="00992B32" w:rsidP="00992B32">
      <w:pPr>
        <w:spacing w:after="0" w:line="240" w:lineRule="auto"/>
        <w:jc w:val="both"/>
      </w:pPr>
    </w:p>
    <w:p w:rsidR="00992B32" w:rsidRPr="00A16E86" w:rsidRDefault="00992B32" w:rsidP="00992B32">
      <w:pPr>
        <w:spacing w:after="0" w:line="240" w:lineRule="auto"/>
        <w:jc w:val="both"/>
        <w:rPr>
          <w:u w:val="single"/>
        </w:rPr>
      </w:pPr>
      <w:r w:rsidRPr="00A16E86">
        <w:rPr>
          <w:u w:val="single"/>
        </w:rPr>
        <w:t>Goal:</w:t>
      </w:r>
    </w:p>
    <w:p w:rsidR="00992B32" w:rsidRDefault="00992B32" w:rsidP="00992B32">
      <w:pPr>
        <w:spacing w:after="0" w:line="240" w:lineRule="auto"/>
        <w:jc w:val="both"/>
      </w:pPr>
      <w:r>
        <w:t>Re</w:t>
      </w:r>
      <w:r w:rsidR="00A16E86">
        <w:t>-</w:t>
      </w:r>
      <w:r>
        <w:t xml:space="preserve">active the Southeast Asia </w:t>
      </w:r>
      <w:r w:rsidR="00A16E86">
        <w:t>Red Cross and Red Crescent</w:t>
      </w:r>
      <w:r>
        <w:t xml:space="preserve"> Regional Disaster Response Team for effective collaboration and support among National Society within the regio</w:t>
      </w:r>
      <w:r w:rsidR="00A16E86">
        <w:t xml:space="preserve">n and outside the region before, during and after the </w:t>
      </w:r>
      <w:r>
        <w:t>disaster event</w:t>
      </w:r>
      <w:r w:rsidR="00A16E86">
        <w:t>.</w:t>
      </w:r>
      <w:r>
        <w:t xml:space="preserve"> </w:t>
      </w:r>
    </w:p>
    <w:p w:rsidR="00992B32" w:rsidRDefault="00992B32" w:rsidP="00992B32">
      <w:pPr>
        <w:spacing w:after="0" w:line="240" w:lineRule="auto"/>
        <w:jc w:val="both"/>
      </w:pPr>
    </w:p>
    <w:p w:rsidR="00992B32" w:rsidRPr="00A16E86" w:rsidRDefault="00A16E86" w:rsidP="00992B32">
      <w:pPr>
        <w:spacing w:after="0" w:line="240" w:lineRule="auto"/>
        <w:jc w:val="both"/>
        <w:rPr>
          <w:u w:val="single"/>
        </w:rPr>
      </w:pPr>
      <w:r w:rsidRPr="00A16E86">
        <w:rPr>
          <w:u w:val="single"/>
        </w:rPr>
        <w:t>Specific Objectives:</w:t>
      </w:r>
    </w:p>
    <w:p w:rsidR="00A16E86" w:rsidRDefault="00A16E86" w:rsidP="00A16E86">
      <w:pPr>
        <w:pStyle w:val="ListParagraph"/>
        <w:numPr>
          <w:ilvl w:val="0"/>
          <w:numId w:val="6"/>
        </w:numPr>
        <w:spacing w:after="0" w:line="240" w:lineRule="auto"/>
        <w:jc w:val="both"/>
      </w:pPr>
      <w:commentRangeStart w:id="6"/>
      <w:r>
        <w:lastRenderedPageBreak/>
        <w:t>Develop a standard operating procedures and terms of reference for the mobilization and deployment of the RDRT</w:t>
      </w:r>
      <w:commentRangeEnd w:id="6"/>
      <w:r w:rsidR="00D45595">
        <w:rPr>
          <w:rStyle w:val="CommentReference"/>
        </w:rPr>
        <w:commentReference w:id="6"/>
      </w:r>
      <w:r>
        <w:t>;</w:t>
      </w:r>
    </w:p>
    <w:p w:rsidR="00A16E86" w:rsidRDefault="00A16E86" w:rsidP="00A16E86">
      <w:pPr>
        <w:pStyle w:val="ListParagraph"/>
        <w:numPr>
          <w:ilvl w:val="0"/>
          <w:numId w:val="6"/>
        </w:numPr>
        <w:spacing w:after="0" w:line="240" w:lineRule="auto"/>
        <w:jc w:val="both"/>
      </w:pPr>
      <w:r>
        <w:t>Develop a standard curriculum on National Disaster Response Team training;</w:t>
      </w:r>
    </w:p>
    <w:p w:rsidR="00A16E86" w:rsidRDefault="00A16E86" w:rsidP="00A16E86">
      <w:pPr>
        <w:pStyle w:val="ListParagraph"/>
        <w:numPr>
          <w:ilvl w:val="0"/>
          <w:numId w:val="6"/>
        </w:numPr>
        <w:spacing w:after="0" w:line="240" w:lineRule="auto"/>
        <w:jc w:val="both"/>
      </w:pPr>
      <w:r>
        <w:t>Develop an agreed document for the NS commitments for RDRT and NDRT sign by each NS Secretary General; and</w:t>
      </w:r>
    </w:p>
    <w:p w:rsidR="00A16E86" w:rsidRDefault="00A16E86" w:rsidP="00A16E86">
      <w:pPr>
        <w:pStyle w:val="ListParagraph"/>
        <w:numPr>
          <w:ilvl w:val="0"/>
          <w:numId w:val="6"/>
        </w:numPr>
        <w:spacing w:after="0" w:line="240" w:lineRule="auto"/>
        <w:jc w:val="both"/>
      </w:pPr>
      <w:r>
        <w:t xml:space="preserve">Agree on the final recommended position paper and presentation on </w:t>
      </w:r>
      <w:commentRangeStart w:id="7"/>
      <w:r>
        <w:t xml:space="preserve">RDRT </w:t>
      </w:r>
      <w:commentRangeEnd w:id="7"/>
      <w:r w:rsidR="00D45595">
        <w:rPr>
          <w:rStyle w:val="CommentReference"/>
        </w:rPr>
        <w:commentReference w:id="7"/>
      </w:r>
      <w:r>
        <w:t>for the up-coming SEA NS Leadership meeting on 2015.</w:t>
      </w:r>
    </w:p>
    <w:p w:rsidR="00BA66E5" w:rsidRDefault="00BA66E5" w:rsidP="00BA66E5">
      <w:pPr>
        <w:spacing w:after="0" w:line="240" w:lineRule="auto"/>
        <w:jc w:val="both"/>
      </w:pPr>
    </w:p>
    <w:p w:rsidR="00BA66E5" w:rsidRDefault="00BA66E5" w:rsidP="00BA66E5">
      <w:pPr>
        <w:spacing w:after="0" w:line="240" w:lineRule="auto"/>
        <w:jc w:val="both"/>
      </w:pPr>
      <w:r>
        <w:t>III. The Workshop</w:t>
      </w:r>
    </w:p>
    <w:p w:rsidR="00BA66E5" w:rsidRDefault="00BA66E5" w:rsidP="00BA66E5">
      <w:pPr>
        <w:spacing w:after="0" w:line="240" w:lineRule="auto"/>
        <w:jc w:val="both"/>
      </w:pPr>
    </w:p>
    <w:p w:rsidR="00BA66E5" w:rsidRDefault="00BA66E5" w:rsidP="00486F63">
      <w:pPr>
        <w:pStyle w:val="ListParagraph"/>
        <w:numPr>
          <w:ilvl w:val="0"/>
          <w:numId w:val="8"/>
        </w:numPr>
        <w:spacing w:after="0" w:line="240" w:lineRule="auto"/>
        <w:jc w:val="both"/>
      </w:pPr>
      <w:r>
        <w:t>Duration: 2 days (not included the arrival and departure of participants)</w:t>
      </w:r>
    </w:p>
    <w:p w:rsidR="00B64D5B" w:rsidRDefault="00B64D5B" w:rsidP="00B64D5B">
      <w:pPr>
        <w:pStyle w:val="ListParagraph"/>
        <w:spacing w:after="0" w:line="240" w:lineRule="auto"/>
        <w:jc w:val="both"/>
      </w:pPr>
    </w:p>
    <w:p w:rsidR="00B64D5B" w:rsidRDefault="00B64D5B" w:rsidP="00486F63">
      <w:pPr>
        <w:pStyle w:val="ListParagraph"/>
        <w:numPr>
          <w:ilvl w:val="0"/>
          <w:numId w:val="8"/>
        </w:numPr>
        <w:spacing w:after="0" w:line="240" w:lineRule="auto"/>
        <w:jc w:val="both"/>
      </w:pPr>
      <w:r>
        <w:t>Date:  27 – 28 October 2014</w:t>
      </w:r>
    </w:p>
    <w:p w:rsidR="00BA66E5" w:rsidRDefault="00BA66E5" w:rsidP="00BA66E5">
      <w:pPr>
        <w:spacing w:after="0" w:line="240" w:lineRule="auto"/>
        <w:jc w:val="both"/>
      </w:pPr>
    </w:p>
    <w:p w:rsidR="00BA66E5" w:rsidRDefault="00BA66E5" w:rsidP="00486F63">
      <w:pPr>
        <w:pStyle w:val="ListParagraph"/>
        <w:numPr>
          <w:ilvl w:val="0"/>
          <w:numId w:val="8"/>
        </w:numPr>
        <w:spacing w:after="0" w:line="240" w:lineRule="auto"/>
        <w:jc w:val="both"/>
      </w:pPr>
      <w:r>
        <w:t xml:space="preserve">Venue: Bangkok, Thailand </w:t>
      </w:r>
    </w:p>
    <w:p w:rsidR="00BA66E5" w:rsidRDefault="00BA66E5" w:rsidP="00BA66E5">
      <w:pPr>
        <w:spacing w:after="0" w:line="240" w:lineRule="auto"/>
        <w:jc w:val="both"/>
      </w:pPr>
    </w:p>
    <w:p w:rsidR="00BA66E5" w:rsidRDefault="00BA66E5" w:rsidP="00486F63">
      <w:pPr>
        <w:pStyle w:val="ListParagraph"/>
        <w:numPr>
          <w:ilvl w:val="0"/>
          <w:numId w:val="8"/>
        </w:numPr>
        <w:spacing w:after="0" w:line="240" w:lineRule="auto"/>
        <w:jc w:val="both"/>
      </w:pPr>
      <w:r>
        <w:t>Host NS: Thailand Red Cross Society</w:t>
      </w:r>
    </w:p>
    <w:p w:rsidR="00BA66E5" w:rsidRDefault="00BA66E5" w:rsidP="00BA66E5">
      <w:pPr>
        <w:spacing w:after="0" w:line="240" w:lineRule="auto"/>
        <w:jc w:val="both"/>
      </w:pPr>
    </w:p>
    <w:p w:rsidR="00BA66E5" w:rsidRDefault="00BA66E5" w:rsidP="00486F63">
      <w:pPr>
        <w:pStyle w:val="ListParagraph"/>
        <w:numPr>
          <w:ilvl w:val="0"/>
          <w:numId w:val="8"/>
        </w:numPr>
        <w:spacing w:after="0" w:line="240" w:lineRule="auto"/>
        <w:jc w:val="both"/>
      </w:pPr>
      <w:r>
        <w:t>Funding Support: IFRC Southeast Asia Region</w:t>
      </w:r>
      <w:r w:rsidR="00486F63">
        <w:t xml:space="preserve"> (including food accommodation during the workshop, accommodation before-during-after the workshop, travel costs from country of origin and back, MSF following IFRC standards, etc.)</w:t>
      </w:r>
    </w:p>
    <w:p w:rsidR="00992B32" w:rsidRDefault="00992B32" w:rsidP="00992B32">
      <w:pPr>
        <w:spacing w:after="0" w:line="240" w:lineRule="auto"/>
        <w:jc w:val="both"/>
      </w:pPr>
    </w:p>
    <w:p w:rsidR="00BA66E5" w:rsidRDefault="00492B9E" w:rsidP="00486F63">
      <w:pPr>
        <w:pStyle w:val="ListParagraph"/>
        <w:numPr>
          <w:ilvl w:val="0"/>
          <w:numId w:val="8"/>
        </w:numPr>
        <w:spacing w:after="0" w:line="240" w:lineRule="auto"/>
        <w:jc w:val="both"/>
      </w:pPr>
      <w:r>
        <w:t>Target Participants:</w:t>
      </w:r>
    </w:p>
    <w:p w:rsidR="00492B9E" w:rsidRDefault="00492B9E" w:rsidP="00992B32">
      <w:pPr>
        <w:spacing w:after="0" w:line="240" w:lineRule="auto"/>
        <w:jc w:val="both"/>
      </w:pPr>
    </w:p>
    <w:p w:rsidR="00492B9E" w:rsidRDefault="00492B9E" w:rsidP="00492B9E">
      <w:pPr>
        <w:pStyle w:val="ListParagraph"/>
        <w:numPr>
          <w:ilvl w:val="0"/>
          <w:numId w:val="7"/>
        </w:numPr>
        <w:spacing w:after="0" w:line="240" w:lineRule="auto"/>
        <w:jc w:val="both"/>
      </w:pPr>
      <w:r>
        <w:t>DM Sector (one from each NS):</w:t>
      </w:r>
      <w:r>
        <w:tab/>
      </w:r>
    </w:p>
    <w:p w:rsidR="00492B9E" w:rsidRDefault="00492B9E" w:rsidP="00492B9E">
      <w:pPr>
        <w:pStyle w:val="ListParagraph"/>
        <w:numPr>
          <w:ilvl w:val="1"/>
          <w:numId w:val="7"/>
        </w:numPr>
        <w:spacing w:after="0" w:line="240" w:lineRule="auto"/>
        <w:jc w:val="both"/>
      </w:pPr>
      <w:r>
        <w:t>Philippines Red Cross</w:t>
      </w:r>
    </w:p>
    <w:p w:rsidR="00492B9E" w:rsidRDefault="003853B0" w:rsidP="00492B9E">
      <w:pPr>
        <w:pStyle w:val="ListParagraph"/>
        <w:numPr>
          <w:ilvl w:val="1"/>
          <w:numId w:val="7"/>
        </w:numPr>
        <w:spacing w:after="0" w:line="240" w:lineRule="auto"/>
        <w:jc w:val="both"/>
      </w:pPr>
      <w:r>
        <w:t>Thai</w:t>
      </w:r>
      <w:r w:rsidR="00492B9E">
        <w:t xml:space="preserve"> Red Cross</w:t>
      </w:r>
    </w:p>
    <w:p w:rsidR="00492B9E" w:rsidRDefault="00E35A08" w:rsidP="00492B9E">
      <w:pPr>
        <w:pStyle w:val="ListParagraph"/>
        <w:numPr>
          <w:ilvl w:val="1"/>
          <w:numId w:val="7"/>
        </w:numPr>
        <w:spacing w:after="0" w:line="240" w:lineRule="auto"/>
        <w:jc w:val="both"/>
      </w:pPr>
      <w:proofErr w:type="spellStart"/>
      <w:r>
        <w:t>Palang</w:t>
      </w:r>
      <w:proofErr w:type="spellEnd"/>
      <w:r>
        <w:t xml:space="preserve"> </w:t>
      </w:r>
      <w:proofErr w:type="spellStart"/>
      <w:r>
        <w:t>Merah</w:t>
      </w:r>
      <w:proofErr w:type="spellEnd"/>
      <w:r>
        <w:t xml:space="preserve"> Indonesia</w:t>
      </w:r>
    </w:p>
    <w:p w:rsidR="00492B9E" w:rsidRDefault="00492B9E" w:rsidP="00492B9E">
      <w:pPr>
        <w:pStyle w:val="ListParagraph"/>
        <w:numPr>
          <w:ilvl w:val="1"/>
          <w:numId w:val="7"/>
        </w:numPr>
        <w:spacing w:after="0" w:line="240" w:lineRule="auto"/>
        <w:jc w:val="both"/>
      </w:pPr>
      <w:r>
        <w:t>Singapore Red Cross</w:t>
      </w:r>
    </w:p>
    <w:p w:rsidR="00492B9E" w:rsidRDefault="00492B9E" w:rsidP="00492B9E">
      <w:pPr>
        <w:pStyle w:val="ListParagraph"/>
        <w:numPr>
          <w:ilvl w:val="1"/>
          <w:numId w:val="7"/>
        </w:numPr>
        <w:spacing w:after="0" w:line="240" w:lineRule="auto"/>
        <w:jc w:val="both"/>
      </w:pPr>
      <w:r>
        <w:t>Malaysian Red Crescent</w:t>
      </w:r>
    </w:p>
    <w:p w:rsidR="00492B9E" w:rsidRDefault="00492B9E" w:rsidP="00492B9E">
      <w:pPr>
        <w:pStyle w:val="ListParagraph"/>
        <w:numPr>
          <w:ilvl w:val="1"/>
          <w:numId w:val="7"/>
        </w:numPr>
        <w:spacing w:after="0" w:line="240" w:lineRule="auto"/>
        <w:jc w:val="both"/>
      </w:pPr>
      <w:r>
        <w:t>Vietnam Red Cross</w:t>
      </w:r>
    </w:p>
    <w:p w:rsidR="00492B9E" w:rsidRDefault="00492B9E" w:rsidP="00492B9E">
      <w:pPr>
        <w:pStyle w:val="ListParagraph"/>
        <w:numPr>
          <w:ilvl w:val="1"/>
          <w:numId w:val="7"/>
        </w:numPr>
        <w:spacing w:after="0" w:line="240" w:lineRule="auto"/>
        <w:jc w:val="both"/>
      </w:pPr>
      <w:r>
        <w:t>Myanmar Red Cross</w:t>
      </w:r>
    </w:p>
    <w:p w:rsidR="00492B9E" w:rsidRDefault="00492B9E" w:rsidP="00492B9E">
      <w:pPr>
        <w:pStyle w:val="ListParagraph"/>
        <w:numPr>
          <w:ilvl w:val="1"/>
          <w:numId w:val="7"/>
        </w:numPr>
        <w:spacing w:after="0" w:line="240" w:lineRule="auto"/>
        <w:jc w:val="both"/>
      </w:pPr>
      <w:r>
        <w:t>Cambodia Red Cross</w:t>
      </w:r>
    </w:p>
    <w:p w:rsidR="00492B9E" w:rsidRDefault="00492B9E" w:rsidP="00492B9E">
      <w:pPr>
        <w:pStyle w:val="ListParagraph"/>
        <w:numPr>
          <w:ilvl w:val="1"/>
          <w:numId w:val="7"/>
        </w:numPr>
        <w:spacing w:after="0" w:line="240" w:lineRule="auto"/>
        <w:jc w:val="both"/>
      </w:pPr>
      <w:r>
        <w:t xml:space="preserve">Timor </w:t>
      </w:r>
      <w:proofErr w:type="spellStart"/>
      <w:r>
        <w:t>Leste</w:t>
      </w:r>
      <w:proofErr w:type="spellEnd"/>
      <w:r>
        <w:t xml:space="preserve"> Red Cross</w:t>
      </w:r>
    </w:p>
    <w:p w:rsidR="00492B9E" w:rsidRDefault="00492B9E" w:rsidP="00492B9E">
      <w:pPr>
        <w:pStyle w:val="ListParagraph"/>
        <w:numPr>
          <w:ilvl w:val="1"/>
          <w:numId w:val="7"/>
        </w:numPr>
        <w:spacing w:after="0" w:line="240" w:lineRule="auto"/>
        <w:jc w:val="both"/>
      </w:pPr>
      <w:r>
        <w:t>Lao Red Cross</w:t>
      </w:r>
    </w:p>
    <w:p w:rsidR="00492B9E" w:rsidRDefault="00492B9E" w:rsidP="00492B9E">
      <w:pPr>
        <w:pStyle w:val="ListParagraph"/>
        <w:numPr>
          <w:ilvl w:val="1"/>
          <w:numId w:val="7"/>
        </w:numPr>
        <w:spacing w:after="0" w:line="240" w:lineRule="auto"/>
        <w:jc w:val="both"/>
      </w:pPr>
      <w:r>
        <w:t xml:space="preserve">Brunei </w:t>
      </w:r>
      <w:r w:rsidR="006D4253">
        <w:t xml:space="preserve">Darussalam </w:t>
      </w:r>
      <w:r>
        <w:t>Red Crescent</w:t>
      </w:r>
    </w:p>
    <w:p w:rsidR="00E003A8" w:rsidRDefault="00E003A8" w:rsidP="00E003A8">
      <w:pPr>
        <w:pStyle w:val="ListParagraph"/>
        <w:spacing w:after="0" w:line="240" w:lineRule="auto"/>
        <w:ind w:left="1800"/>
        <w:jc w:val="both"/>
      </w:pPr>
    </w:p>
    <w:p w:rsidR="00492B9E" w:rsidRDefault="00492B9E" w:rsidP="00492B9E">
      <w:pPr>
        <w:pStyle w:val="ListParagraph"/>
        <w:numPr>
          <w:ilvl w:val="0"/>
          <w:numId w:val="7"/>
        </w:numPr>
        <w:spacing w:after="0" w:line="240" w:lineRule="auto"/>
        <w:jc w:val="both"/>
      </w:pPr>
      <w:r>
        <w:t>Guest (one from each Sector)</w:t>
      </w:r>
    </w:p>
    <w:p w:rsidR="00492B9E" w:rsidRDefault="00492B9E" w:rsidP="00492B9E">
      <w:pPr>
        <w:pStyle w:val="ListParagraph"/>
        <w:numPr>
          <w:ilvl w:val="1"/>
          <w:numId w:val="7"/>
        </w:numPr>
        <w:spacing w:after="0" w:line="240" w:lineRule="auto"/>
        <w:jc w:val="both"/>
      </w:pPr>
      <w:r>
        <w:t>Chair of the Health Sector</w:t>
      </w:r>
    </w:p>
    <w:p w:rsidR="00492B9E" w:rsidRDefault="00E80608" w:rsidP="00492B9E">
      <w:pPr>
        <w:pStyle w:val="ListParagraph"/>
        <w:numPr>
          <w:ilvl w:val="1"/>
          <w:numId w:val="7"/>
        </w:numPr>
        <w:spacing w:after="0" w:line="240" w:lineRule="auto"/>
        <w:jc w:val="both"/>
      </w:pPr>
      <w:r>
        <w:t>Chair of the OD Sect</w:t>
      </w:r>
      <w:r w:rsidR="00492B9E">
        <w:t>or</w:t>
      </w:r>
    </w:p>
    <w:p w:rsidR="00492B9E" w:rsidRDefault="00492B9E" w:rsidP="00492B9E">
      <w:pPr>
        <w:spacing w:after="0" w:line="240" w:lineRule="auto"/>
        <w:jc w:val="both"/>
      </w:pPr>
    </w:p>
    <w:p w:rsidR="00492B9E" w:rsidRDefault="00492B9E" w:rsidP="00486F63">
      <w:pPr>
        <w:pStyle w:val="ListParagraph"/>
        <w:numPr>
          <w:ilvl w:val="0"/>
          <w:numId w:val="8"/>
        </w:numPr>
        <w:spacing w:after="0" w:line="240" w:lineRule="auto"/>
        <w:jc w:val="both"/>
      </w:pPr>
      <w:r>
        <w:t>Facilitators:</w:t>
      </w:r>
    </w:p>
    <w:p w:rsidR="00492B9E" w:rsidRDefault="00492B9E" w:rsidP="00492B9E">
      <w:pPr>
        <w:spacing w:after="0" w:line="240" w:lineRule="auto"/>
        <w:jc w:val="both"/>
      </w:pPr>
    </w:p>
    <w:p w:rsidR="00486F63" w:rsidRDefault="00E003A8" w:rsidP="00486F63">
      <w:pPr>
        <w:spacing w:after="0" w:line="240" w:lineRule="auto"/>
        <w:ind w:left="720"/>
        <w:jc w:val="both"/>
      </w:pPr>
      <w:r>
        <w:t xml:space="preserve">The workshop will be facilitated by the IFRC Southeast Region – CSR Delegate to be supported by the Philippines Red Cross and </w:t>
      </w:r>
      <w:r w:rsidR="00486F63">
        <w:t>Indonesia Red Cross. The Chair of the DM Sector will take the lead of the over-all workshop proper and will act as Moderator during the workshop discussion. The IFRC SEA Region will also act as Secretariat of the workshop.</w:t>
      </w:r>
    </w:p>
    <w:p w:rsidR="00492B9E" w:rsidRDefault="00492B9E" w:rsidP="00992B32">
      <w:pPr>
        <w:spacing w:after="0" w:line="240" w:lineRule="auto"/>
        <w:jc w:val="both"/>
      </w:pPr>
    </w:p>
    <w:p w:rsidR="00BA66E5" w:rsidRDefault="003853B0" w:rsidP="00992B32">
      <w:pPr>
        <w:spacing w:after="0" w:line="240" w:lineRule="auto"/>
        <w:jc w:val="both"/>
      </w:pPr>
      <w:r>
        <w:lastRenderedPageBreak/>
        <w:t>IV. Methodologies</w:t>
      </w:r>
    </w:p>
    <w:p w:rsidR="003853B0" w:rsidRDefault="003853B0" w:rsidP="00992B32">
      <w:pPr>
        <w:spacing w:after="0" w:line="240" w:lineRule="auto"/>
        <w:jc w:val="both"/>
      </w:pPr>
    </w:p>
    <w:p w:rsidR="003853B0" w:rsidRDefault="003853B0" w:rsidP="00992B32">
      <w:pPr>
        <w:spacing w:after="0" w:line="240" w:lineRule="auto"/>
        <w:jc w:val="both"/>
      </w:pPr>
      <w:r>
        <w:t>The workshop activity will not be limited to the following methodologies:</w:t>
      </w:r>
    </w:p>
    <w:p w:rsidR="003853B0" w:rsidRDefault="003853B0" w:rsidP="00992B32">
      <w:pPr>
        <w:spacing w:after="0" w:line="240" w:lineRule="auto"/>
        <w:jc w:val="both"/>
      </w:pPr>
    </w:p>
    <w:p w:rsidR="003853B0" w:rsidRDefault="003853B0" w:rsidP="003853B0">
      <w:pPr>
        <w:pStyle w:val="ListParagraph"/>
        <w:numPr>
          <w:ilvl w:val="0"/>
          <w:numId w:val="9"/>
        </w:numPr>
        <w:spacing w:after="0" w:line="240" w:lineRule="auto"/>
        <w:jc w:val="both"/>
      </w:pPr>
      <w:r>
        <w:t>Presentation of the workshop objectives and setting expectations;</w:t>
      </w:r>
    </w:p>
    <w:p w:rsidR="00655E87" w:rsidRDefault="00655E87" w:rsidP="00655E87">
      <w:pPr>
        <w:pStyle w:val="ListParagraph"/>
        <w:spacing w:after="0" w:line="240" w:lineRule="auto"/>
        <w:jc w:val="both"/>
      </w:pPr>
    </w:p>
    <w:p w:rsidR="003853B0" w:rsidRDefault="003853B0" w:rsidP="003853B0">
      <w:pPr>
        <w:pStyle w:val="ListParagraph"/>
        <w:numPr>
          <w:ilvl w:val="0"/>
          <w:numId w:val="9"/>
        </w:numPr>
        <w:spacing w:after="0" w:line="240" w:lineRule="auto"/>
        <w:jc w:val="both"/>
      </w:pPr>
      <w:r>
        <w:t>Break-out session on the following topics and NS assignment:</w:t>
      </w:r>
    </w:p>
    <w:tbl>
      <w:tblPr>
        <w:tblStyle w:val="TableGrid"/>
        <w:tblW w:w="0" w:type="auto"/>
        <w:tblInd w:w="828" w:type="dxa"/>
        <w:tblLook w:val="04A0" w:firstRow="1" w:lastRow="0" w:firstColumn="1" w:lastColumn="0" w:noHBand="0" w:noVBand="1"/>
      </w:tblPr>
      <w:tblGrid>
        <w:gridCol w:w="3060"/>
        <w:gridCol w:w="2880"/>
        <w:gridCol w:w="2808"/>
      </w:tblGrid>
      <w:tr w:rsidR="003853B0" w:rsidTr="003853B0">
        <w:tc>
          <w:tcPr>
            <w:tcW w:w="3060" w:type="dxa"/>
          </w:tcPr>
          <w:p w:rsidR="003853B0" w:rsidRDefault="003853B0" w:rsidP="003853B0">
            <w:pPr>
              <w:jc w:val="both"/>
            </w:pPr>
            <w:commentRangeStart w:id="8"/>
            <w:r>
              <w:t>Topic 1:</w:t>
            </w:r>
          </w:p>
          <w:p w:rsidR="003853B0" w:rsidRDefault="003853B0" w:rsidP="003853B0">
            <w:pPr>
              <w:jc w:val="both"/>
            </w:pPr>
            <w:r>
              <w:t>RDRT SOPs and TOR</w:t>
            </w:r>
            <w:commentRangeEnd w:id="8"/>
            <w:r w:rsidR="00D45595">
              <w:rPr>
                <w:rStyle w:val="CommentReference"/>
              </w:rPr>
              <w:commentReference w:id="8"/>
            </w:r>
          </w:p>
        </w:tc>
        <w:tc>
          <w:tcPr>
            <w:tcW w:w="2880" w:type="dxa"/>
          </w:tcPr>
          <w:p w:rsidR="003853B0" w:rsidRDefault="003853B0" w:rsidP="003853B0">
            <w:pPr>
              <w:jc w:val="both"/>
            </w:pPr>
            <w:r>
              <w:t>Topic 2:</w:t>
            </w:r>
          </w:p>
          <w:p w:rsidR="003853B0" w:rsidRDefault="003853B0" w:rsidP="003853B0">
            <w:pPr>
              <w:jc w:val="both"/>
            </w:pPr>
            <w:r>
              <w:t>NDRT Curriculum</w:t>
            </w:r>
          </w:p>
        </w:tc>
        <w:tc>
          <w:tcPr>
            <w:tcW w:w="2808" w:type="dxa"/>
          </w:tcPr>
          <w:p w:rsidR="003853B0" w:rsidRDefault="003853B0" w:rsidP="003853B0">
            <w:pPr>
              <w:jc w:val="both"/>
            </w:pPr>
            <w:r>
              <w:t>Topic 3:</w:t>
            </w:r>
          </w:p>
          <w:p w:rsidR="003853B0" w:rsidRDefault="003853B0" w:rsidP="003853B0">
            <w:pPr>
              <w:jc w:val="both"/>
            </w:pPr>
            <w:r>
              <w:t>NS Commitment Paper</w:t>
            </w:r>
          </w:p>
        </w:tc>
      </w:tr>
      <w:tr w:rsidR="003853B0" w:rsidTr="003853B0">
        <w:tc>
          <w:tcPr>
            <w:tcW w:w="3060" w:type="dxa"/>
          </w:tcPr>
          <w:p w:rsidR="003853B0" w:rsidRDefault="003853B0" w:rsidP="003853B0">
            <w:pPr>
              <w:jc w:val="both"/>
            </w:pPr>
            <w:r>
              <w:t xml:space="preserve">Lead: </w:t>
            </w:r>
            <w:r w:rsidR="00FE01E4">
              <w:t>Indonesia</w:t>
            </w:r>
            <w:r>
              <w:t xml:space="preserve"> R</w:t>
            </w:r>
            <w:r w:rsidR="00FE01E4">
              <w:t>C</w:t>
            </w:r>
          </w:p>
          <w:p w:rsidR="002A4B07" w:rsidRDefault="00655E87" w:rsidP="003853B0">
            <w:pPr>
              <w:jc w:val="both"/>
            </w:pPr>
            <w:r>
              <w:t xml:space="preserve">Support: </w:t>
            </w:r>
            <w:r w:rsidR="009A0C9B">
              <w:t>IFRC Delegate</w:t>
            </w:r>
          </w:p>
        </w:tc>
        <w:tc>
          <w:tcPr>
            <w:tcW w:w="2880" w:type="dxa"/>
          </w:tcPr>
          <w:p w:rsidR="003853B0" w:rsidRDefault="003853B0" w:rsidP="003853B0">
            <w:pPr>
              <w:jc w:val="both"/>
            </w:pPr>
            <w:r>
              <w:t>Lead: Singapore RC</w:t>
            </w:r>
          </w:p>
          <w:p w:rsidR="00FE01E4" w:rsidRDefault="00655E87" w:rsidP="00FE01E4">
            <w:pPr>
              <w:jc w:val="both"/>
            </w:pPr>
            <w:r>
              <w:t>Support: IFRC Delegate</w:t>
            </w:r>
          </w:p>
        </w:tc>
        <w:tc>
          <w:tcPr>
            <w:tcW w:w="2808" w:type="dxa"/>
          </w:tcPr>
          <w:p w:rsidR="00FE01E4" w:rsidRDefault="00FE01E4" w:rsidP="003853B0">
            <w:pPr>
              <w:jc w:val="both"/>
            </w:pPr>
            <w:r>
              <w:t>Lead: Thai RC</w:t>
            </w:r>
          </w:p>
          <w:p w:rsidR="00655E87" w:rsidRDefault="00655E87" w:rsidP="003853B0">
            <w:pPr>
              <w:jc w:val="both"/>
            </w:pPr>
            <w:r>
              <w:t>Support: IFRC Delegate</w:t>
            </w:r>
          </w:p>
        </w:tc>
      </w:tr>
    </w:tbl>
    <w:p w:rsidR="003853B0" w:rsidRDefault="003853B0" w:rsidP="003853B0">
      <w:pPr>
        <w:spacing w:after="0" w:line="240" w:lineRule="auto"/>
        <w:jc w:val="both"/>
      </w:pPr>
    </w:p>
    <w:p w:rsidR="003853B0" w:rsidRDefault="00FE01E4" w:rsidP="002C501E">
      <w:pPr>
        <w:spacing w:after="0" w:line="240" w:lineRule="auto"/>
        <w:ind w:left="720"/>
        <w:jc w:val="both"/>
      </w:pPr>
      <w:r>
        <w:t>Note: Participant</w:t>
      </w:r>
      <w:r w:rsidR="002C501E">
        <w:t xml:space="preserve">s for each of the topic will </w:t>
      </w:r>
      <w:r>
        <w:t xml:space="preserve">identify prior the break-out session. </w:t>
      </w:r>
      <w:r w:rsidR="002C501E">
        <w:t>A draft document of each of the topic to the leader of each of the break-out session will be given prior to the workshop event</w:t>
      </w:r>
      <w:r w:rsidR="002A4B07">
        <w:t>. The break-out session will provide two hours for discussion and synthesis of the given draft document. A minimum of two members is required for each topic in order to proceed on the session. In case</w:t>
      </w:r>
      <w:r>
        <w:t xml:space="preserve"> </w:t>
      </w:r>
      <w:r w:rsidR="002A4B07">
        <w:t>there will be less of two members, the Chair of the Disaster Management Sector will have to assign two participants. Voluntary</w:t>
      </w:r>
      <w:r w:rsidR="00321A90">
        <w:t xml:space="preserve"> commitment is accepted. For the two Chair</w:t>
      </w:r>
      <w:r w:rsidR="009A0C9B">
        <w:t>s</w:t>
      </w:r>
      <w:r w:rsidR="00321A90">
        <w:t xml:space="preserve"> of both Health and OD sectors, there will be open to select of their own choice of the topic to join (only one topic is allow</w:t>
      </w:r>
      <w:r w:rsidR="00655E87">
        <w:t xml:space="preserve"> to select</w:t>
      </w:r>
      <w:r w:rsidR="00321A90">
        <w:t>).</w:t>
      </w:r>
      <w:r w:rsidR="002A4B07">
        <w:t xml:space="preserve"> </w:t>
      </w:r>
      <w:r>
        <w:t xml:space="preserve"> </w:t>
      </w:r>
    </w:p>
    <w:p w:rsidR="003853B0" w:rsidRDefault="003853B0" w:rsidP="003853B0">
      <w:pPr>
        <w:spacing w:after="0" w:line="240" w:lineRule="auto"/>
        <w:jc w:val="both"/>
      </w:pPr>
    </w:p>
    <w:p w:rsidR="003853B0" w:rsidRDefault="003853B0" w:rsidP="003853B0">
      <w:pPr>
        <w:pStyle w:val="ListParagraph"/>
        <w:numPr>
          <w:ilvl w:val="0"/>
          <w:numId w:val="9"/>
        </w:numPr>
        <w:spacing w:after="0" w:line="240" w:lineRule="auto"/>
        <w:jc w:val="both"/>
      </w:pPr>
      <w:r>
        <w:t>Presentation and discussion on the following topics after the break-out session</w:t>
      </w:r>
      <w:r w:rsidR="00655E87">
        <w:t xml:space="preserve"> (All Participants)</w:t>
      </w:r>
      <w:r>
        <w:t>:</w:t>
      </w:r>
    </w:p>
    <w:p w:rsidR="003853B0" w:rsidRDefault="003853B0" w:rsidP="003853B0">
      <w:pPr>
        <w:pStyle w:val="ListParagraph"/>
        <w:numPr>
          <w:ilvl w:val="1"/>
          <w:numId w:val="9"/>
        </w:numPr>
        <w:spacing w:after="0" w:line="240" w:lineRule="auto"/>
        <w:jc w:val="both"/>
      </w:pPr>
      <w:r>
        <w:t>Presentation of the draft RDRT standard operating procedures and terms of reference;</w:t>
      </w:r>
    </w:p>
    <w:p w:rsidR="003853B0" w:rsidRDefault="003853B0" w:rsidP="003853B0">
      <w:pPr>
        <w:pStyle w:val="ListParagraph"/>
        <w:numPr>
          <w:ilvl w:val="1"/>
          <w:numId w:val="9"/>
        </w:numPr>
        <w:spacing w:after="0" w:line="240" w:lineRule="auto"/>
        <w:jc w:val="both"/>
      </w:pPr>
      <w:r>
        <w:t>Presentation of the draft NDRT curriculum; and</w:t>
      </w:r>
    </w:p>
    <w:p w:rsidR="003853B0" w:rsidRDefault="003853B0" w:rsidP="003853B0">
      <w:pPr>
        <w:pStyle w:val="ListParagraph"/>
        <w:numPr>
          <w:ilvl w:val="1"/>
          <w:numId w:val="9"/>
        </w:numPr>
        <w:spacing w:after="0" w:line="240" w:lineRule="auto"/>
        <w:jc w:val="both"/>
      </w:pPr>
      <w:r>
        <w:t>Presentation on the draft NS commitment paper.</w:t>
      </w:r>
    </w:p>
    <w:p w:rsidR="00655E87" w:rsidRDefault="00655E87" w:rsidP="00655E87">
      <w:pPr>
        <w:spacing w:after="0" w:line="240" w:lineRule="auto"/>
        <w:ind w:left="720"/>
        <w:jc w:val="both"/>
      </w:pPr>
    </w:p>
    <w:p w:rsidR="00655E87" w:rsidRDefault="00655E87" w:rsidP="00655E87">
      <w:pPr>
        <w:spacing w:after="0" w:line="240" w:lineRule="auto"/>
        <w:ind w:left="720"/>
        <w:jc w:val="both"/>
      </w:pPr>
      <w:r>
        <w:t xml:space="preserve">Note: The output of the break-out session </w:t>
      </w:r>
      <w:r w:rsidR="009A0C9B">
        <w:t>will be presented by the Topic Lead.</w:t>
      </w:r>
      <w:r w:rsidR="003D0A20">
        <w:t xml:space="preserve"> May use its own style of presentation. </w:t>
      </w:r>
    </w:p>
    <w:p w:rsidR="00655E87" w:rsidRDefault="00655E87" w:rsidP="00655E87">
      <w:pPr>
        <w:spacing w:after="0" w:line="240" w:lineRule="auto"/>
        <w:jc w:val="both"/>
      </w:pPr>
    </w:p>
    <w:p w:rsidR="00655E87" w:rsidRDefault="00655E87" w:rsidP="003853B0">
      <w:pPr>
        <w:pStyle w:val="ListParagraph"/>
        <w:numPr>
          <w:ilvl w:val="0"/>
          <w:numId w:val="9"/>
        </w:numPr>
        <w:spacing w:after="0" w:line="240" w:lineRule="auto"/>
        <w:jc w:val="both"/>
      </w:pPr>
      <w:commentRangeStart w:id="9"/>
      <w:r>
        <w:t>Open discussion</w:t>
      </w:r>
      <w:commentRangeEnd w:id="9"/>
      <w:r w:rsidR="00D45595">
        <w:rPr>
          <w:rStyle w:val="CommentReference"/>
        </w:rPr>
        <w:commentReference w:id="9"/>
      </w:r>
      <w:r>
        <w:t xml:space="preserve"> to all participants for questions and answer, comments, clarification, and additional sugges</w:t>
      </w:r>
      <w:r w:rsidR="009A0C9B">
        <w:t>tion on the presented documents;</w:t>
      </w:r>
      <w:r>
        <w:t xml:space="preserve"> </w:t>
      </w:r>
    </w:p>
    <w:p w:rsidR="00655E87" w:rsidRDefault="00655E87" w:rsidP="00655E87">
      <w:pPr>
        <w:pStyle w:val="ListParagraph"/>
        <w:spacing w:after="0" w:line="240" w:lineRule="auto"/>
        <w:jc w:val="both"/>
      </w:pPr>
    </w:p>
    <w:p w:rsidR="003853B0" w:rsidRDefault="003853B0" w:rsidP="003853B0">
      <w:pPr>
        <w:pStyle w:val="ListParagraph"/>
        <w:numPr>
          <w:ilvl w:val="0"/>
          <w:numId w:val="9"/>
        </w:numPr>
        <w:spacing w:after="0" w:line="240" w:lineRule="auto"/>
        <w:jc w:val="both"/>
      </w:pPr>
      <w:r>
        <w:t xml:space="preserve">Table top discussion and </w:t>
      </w:r>
      <w:r w:rsidR="009A0C9B">
        <w:t>finalization of the position paper to present to the SEA NS Leadership meeting; and</w:t>
      </w:r>
    </w:p>
    <w:p w:rsidR="003D0A20" w:rsidRDefault="003D0A20" w:rsidP="003D0A20">
      <w:pPr>
        <w:pStyle w:val="ListParagraph"/>
      </w:pPr>
    </w:p>
    <w:p w:rsidR="003D0A20" w:rsidRDefault="00FF4E69" w:rsidP="003853B0">
      <w:pPr>
        <w:pStyle w:val="ListParagraph"/>
        <w:numPr>
          <w:ilvl w:val="0"/>
          <w:numId w:val="9"/>
        </w:numPr>
        <w:spacing w:after="0" w:line="240" w:lineRule="auto"/>
        <w:jc w:val="both"/>
      </w:pPr>
      <w:r>
        <w:t>Rap-up and Way-forward planning.</w:t>
      </w:r>
    </w:p>
    <w:p w:rsidR="00992B32" w:rsidRDefault="00992B32" w:rsidP="00992B32">
      <w:pPr>
        <w:spacing w:after="0" w:line="240" w:lineRule="auto"/>
        <w:jc w:val="both"/>
      </w:pPr>
    </w:p>
    <w:p w:rsidR="00787AB2" w:rsidRDefault="00787AB2" w:rsidP="00992B32">
      <w:pPr>
        <w:spacing w:after="0" w:line="240" w:lineRule="auto"/>
        <w:jc w:val="both"/>
      </w:pPr>
      <w:r>
        <w:t>V. Agenda Schedule</w:t>
      </w:r>
    </w:p>
    <w:p w:rsidR="00787AB2" w:rsidRDefault="00787AB2" w:rsidP="00992B32">
      <w:pPr>
        <w:spacing w:after="0" w:line="240" w:lineRule="auto"/>
        <w:jc w:val="both"/>
      </w:pPr>
    </w:p>
    <w:tbl>
      <w:tblPr>
        <w:tblStyle w:val="TableGrid"/>
        <w:tblW w:w="0" w:type="auto"/>
        <w:tblInd w:w="378" w:type="dxa"/>
        <w:tblLook w:val="04A0" w:firstRow="1" w:lastRow="0" w:firstColumn="1" w:lastColumn="0" w:noHBand="0" w:noVBand="1"/>
      </w:tblPr>
      <w:tblGrid>
        <w:gridCol w:w="2250"/>
        <w:gridCol w:w="1620"/>
        <w:gridCol w:w="1980"/>
        <w:gridCol w:w="1710"/>
        <w:gridCol w:w="1638"/>
      </w:tblGrid>
      <w:tr w:rsidR="00787AB2" w:rsidTr="00E35A08">
        <w:tc>
          <w:tcPr>
            <w:tcW w:w="2250" w:type="dxa"/>
          </w:tcPr>
          <w:p w:rsidR="00787AB2" w:rsidRDefault="00787AB2" w:rsidP="00E35A08">
            <w:pPr>
              <w:jc w:val="center"/>
            </w:pPr>
            <w:r>
              <w:t>Time</w:t>
            </w:r>
          </w:p>
        </w:tc>
        <w:tc>
          <w:tcPr>
            <w:tcW w:w="1620" w:type="dxa"/>
          </w:tcPr>
          <w:p w:rsidR="00787AB2" w:rsidRDefault="00787AB2" w:rsidP="00E35A08">
            <w:pPr>
              <w:jc w:val="center"/>
            </w:pPr>
            <w:r>
              <w:t>26 Oct</w:t>
            </w:r>
          </w:p>
        </w:tc>
        <w:tc>
          <w:tcPr>
            <w:tcW w:w="1980" w:type="dxa"/>
          </w:tcPr>
          <w:p w:rsidR="00787AB2" w:rsidRDefault="00787AB2" w:rsidP="00E35A08">
            <w:pPr>
              <w:jc w:val="center"/>
            </w:pPr>
            <w:r>
              <w:t>27 Oct</w:t>
            </w:r>
          </w:p>
        </w:tc>
        <w:tc>
          <w:tcPr>
            <w:tcW w:w="1710" w:type="dxa"/>
          </w:tcPr>
          <w:p w:rsidR="00787AB2" w:rsidRDefault="00787AB2" w:rsidP="00E35A08">
            <w:pPr>
              <w:jc w:val="center"/>
            </w:pPr>
            <w:r>
              <w:t>28 Oct</w:t>
            </w:r>
          </w:p>
        </w:tc>
        <w:tc>
          <w:tcPr>
            <w:tcW w:w="1638" w:type="dxa"/>
          </w:tcPr>
          <w:p w:rsidR="00787AB2" w:rsidRDefault="00787AB2" w:rsidP="00E35A08">
            <w:pPr>
              <w:jc w:val="center"/>
            </w:pPr>
            <w:r>
              <w:t>29 Oct</w:t>
            </w:r>
          </w:p>
        </w:tc>
      </w:tr>
      <w:tr w:rsidR="00E35A08" w:rsidTr="00E35A08">
        <w:tc>
          <w:tcPr>
            <w:tcW w:w="2250" w:type="dxa"/>
          </w:tcPr>
          <w:p w:rsidR="00E35A08" w:rsidRDefault="00E35A08" w:rsidP="00992B32">
            <w:pPr>
              <w:jc w:val="both"/>
            </w:pPr>
            <w:r>
              <w:t>8:30 am – 9:30 am</w:t>
            </w:r>
          </w:p>
        </w:tc>
        <w:tc>
          <w:tcPr>
            <w:tcW w:w="1620" w:type="dxa"/>
            <w:vMerge w:val="restart"/>
          </w:tcPr>
          <w:p w:rsidR="00E35A08" w:rsidRDefault="00E35A08" w:rsidP="00992B32">
            <w:pPr>
              <w:jc w:val="both"/>
            </w:pPr>
            <w:r>
              <w:t>Arrival (depends on flight availability from each country)</w:t>
            </w:r>
          </w:p>
        </w:tc>
        <w:tc>
          <w:tcPr>
            <w:tcW w:w="1980" w:type="dxa"/>
          </w:tcPr>
          <w:p w:rsidR="00E35A08" w:rsidRDefault="00E35A08" w:rsidP="00992B32">
            <w:pPr>
              <w:jc w:val="both"/>
            </w:pPr>
            <w:r>
              <w:t xml:space="preserve">Opening (to be hosted by the </w:t>
            </w:r>
            <w:r w:rsidRPr="00E35A08">
              <w:t>Thai RC</w:t>
            </w:r>
            <w:r>
              <w:t>)</w:t>
            </w:r>
          </w:p>
        </w:tc>
        <w:tc>
          <w:tcPr>
            <w:tcW w:w="1710" w:type="dxa"/>
          </w:tcPr>
          <w:p w:rsidR="00E35A08" w:rsidRDefault="00E35A08" w:rsidP="00E35A08">
            <w:pPr>
              <w:jc w:val="both"/>
            </w:pPr>
            <w:r>
              <w:t>Recap and finalization and agreement on the output of the Break-out Sessions</w:t>
            </w:r>
          </w:p>
        </w:tc>
        <w:tc>
          <w:tcPr>
            <w:tcW w:w="1638" w:type="dxa"/>
            <w:vMerge w:val="restart"/>
          </w:tcPr>
          <w:p w:rsidR="00E35A08" w:rsidRDefault="00E35A08" w:rsidP="00992B32">
            <w:pPr>
              <w:jc w:val="both"/>
            </w:pPr>
            <w:r>
              <w:t>Departure (depends on flight availability back to each country)</w:t>
            </w:r>
          </w:p>
        </w:tc>
      </w:tr>
      <w:tr w:rsidR="00E35A08" w:rsidTr="00E35A08">
        <w:tc>
          <w:tcPr>
            <w:tcW w:w="2250" w:type="dxa"/>
          </w:tcPr>
          <w:p w:rsidR="00E35A08" w:rsidRDefault="00E35A08" w:rsidP="00992B32">
            <w:pPr>
              <w:jc w:val="both"/>
            </w:pPr>
            <w:r>
              <w:t>9:30 am – 10:30 am</w:t>
            </w:r>
          </w:p>
        </w:tc>
        <w:tc>
          <w:tcPr>
            <w:tcW w:w="1620" w:type="dxa"/>
            <w:vMerge/>
          </w:tcPr>
          <w:p w:rsidR="00E35A08" w:rsidRDefault="00E35A08" w:rsidP="00992B32">
            <w:pPr>
              <w:jc w:val="both"/>
            </w:pPr>
          </w:p>
        </w:tc>
        <w:tc>
          <w:tcPr>
            <w:tcW w:w="1980" w:type="dxa"/>
          </w:tcPr>
          <w:p w:rsidR="00E35A08" w:rsidRDefault="00E35A08" w:rsidP="00992B32">
            <w:pPr>
              <w:jc w:val="both"/>
            </w:pPr>
            <w:r>
              <w:t xml:space="preserve">Workshop </w:t>
            </w:r>
            <w:r>
              <w:lastRenderedPageBreak/>
              <w:t xml:space="preserve">Orientation and Setting of Expectation </w:t>
            </w:r>
            <w:r w:rsidRPr="00E35A08">
              <w:t>(PRC)</w:t>
            </w:r>
          </w:p>
        </w:tc>
        <w:tc>
          <w:tcPr>
            <w:tcW w:w="1710" w:type="dxa"/>
          </w:tcPr>
          <w:p w:rsidR="00E35A08" w:rsidRDefault="00E35A08" w:rsidP="00992B32">
            <w:pPr>
              <w:jc w:val="both"/>
            </w:pPr>
            <w:r>
              <w:lastRenderedPageBreak/>
              <w:t xml:space="preserve">Table top </w:t>
            </w:r>
            <w:r>
              <w:lastRenderedPageBreak/>
              <w:t>discussion on the agreement of the statement paper to be presented to the SEA NS Leadership meeting (</w:t>
            </w:r>
            <w:r w:rsidRPr="00E35A08">
              <w:t>PMI</w:t>
            </w:r>
            <w:r>
              <w:t>)</w:t>
            </w:r>
          </w:p>
        </w:tc>
        <w:tc>
          <w:tcPr>
            <w:tcW w:w="1638" w:type="dxa"/>
            <w:vMerge/>
          </w:tcPr>
          <w:p w:rsidR="00E35A08" w:rsidRDefault="00E35A08" w:rsidP="00992B32">
            <w:pPr>
              <w:jc w:val="both"/>
            </w:pPr>
          </w:p>
        </w:tc>
      </w:tr>
      <w:tr w:rsidR="00E35A08" w:rsidTr="00E35A08">
        <w:tc>
          <w:tcPr>
            <w:tcW w:w="2250" w:type="dxa"/>
          </w:tcPr>
          <w:p w:rsidR="00E35A08" w:rsidRDefault="00E35A08" w:rsidP="00992B32">
            <w:pPr>
              <w:jc w:val="both"/>
            </w:pPr>
            <w:r>
              <w:lastRenderedPageBreak/>
              <w:t>10:30 am – 10:45 am</w:t>
            </w:r>
          </w:p>
        </w:tc>
        <w:tc>
          <w:tcPr>
            <w:tcW w:w="1620" w:type="dxa"/>
            <w:vMerge/>
          </w:tcPr>
          <w:p w:rsidR="00E35A08" w:rsidRDefault="00E35A08" w:rsidP="00992B32">
            <w:pPr>
              <w:jc w:val="both"/>
            </w:pPr>
          </w:p>
        </w:tc>
        <w:tc>
          <w:tcPr>
            <w:tcW w:w="1980" w:type="dxa"/>
          </w:tcPr>
          <w:p w:rsidR="00E35A08" w:rsidRDefault="00E35A08" w:rsidP="00992B32">
            <w:pPr>
              <w:jc w:val="both"/>
            </w:pPr>
            <w:r>
              <w:t>SNACKS</w:t>
            </w:r>
          </w:p>
        </w:tc>
        <w:tc>
          <w:tcPr>
            <w:tcW w:w="1710" w:type="dxa"/>
          </w:tcPr>
          <w:p w:rsidR="00E35A08" w:rsidRDefault="002D2019" w:rsidP="00992B32">
            <w:pPr>
              <w:jc w:val="both"/>
            </w:pPr>
            <w:r>
              <w:t>SNACKS</w:t>
            </w:r>
          </w:p>
        </w:tc>
        <w:tc>
          <w:tcPr>
            <w:tcW w:w="1638" w:type="dxa"/>
            <w:vMerge/>
          </w:tcPr>
          <w:p w:rsidR="00E35A08" w:rsidRDefault="00E35A08" w:rsidP="00992B32">
            <w:pPr>
              <w:jc w:val="both"/>
            </w:pPr>
          </w:p>
        </w:tc>
      </w:tr>
      <w:tr w:rsidR="00E35A08" w:rsidTr="00E35A08">
        <w:tc>
          <w:tcPr>
            <w:tcW w:w="2250" w:type="dxa"/>
          </w:tcPr>
          <w:p w:rsidR="00E35A08" w:rsidRDefault="00E35A08" w:rsidP="00992B32">
            <w:pPr>
              <w:jc w:val="both"/>
            </w:pPr>
            <w:r>
              <w:t xml:space="preserve">10:45 am – 12:00 </w:t>
            </w:r>
            <w:proofErr w:type="spellStart"/>
            <w:r>
              <w:t>nn</w:t>
            </w:r>
            <w:proofErr w:type="spellEnd"/>
          </w:p>
        </w:tc>
        <w:tc>
          <w:tcPr>
            <w:tcW w:w="1620" w:type="dxa"/>
            <w:vMerge/>
          </w:tcPr>
          <w:p w:rsidR="00E35A08" w:rsidRDefault="00E35A08" w:rsidP="00992B32">
            <w:pPr>
              <w:jc w:val="both"/>
            </w:pPr>
          </w:p>
        </w:tc>
        <w:tc>
          <w:tcPr>
            <w:tcW w:w="1980" w:type="dxa"/>
          </w:tcPr>
          <w:p w:rsidR="00E35A08" w:rsidRDefault="00E35A08" w:rsidP="00992B32">
            <w:pPr>
              <w:jc w:val="both"/>
            </w:pPr>
            <w:r>
              <w:t>Break-out Sessions</w:t>
            </w:r>
          </w:p>
        </w:tc>
        <w:tc>
          <w:tcPr>
            <w:tcW w:w="1710" w:type="dxa"/>
          </w:tcPr>
          <w:p w:rsidR="00E35A08" w:rsidRDefault="00A715C9" w:rsidP="00992B32">
            <w:pPr>
              <w:jc w:val="both"/>
            </w:pPr>
            <w:r>
              <w:t>Continuation of the discussion</w:t>
            </w:r>
          </w:p>
        </w:tc>
        <w:tc>
          <w:tcPr>
            <w:tcW w:w="1638" w:type="dxa"/>
            <w:vMerge/>
          </w:tcPr>
          <w:p w:rsidR="00E35A08" w:rsidRDefault="00E35A08" w:rsidP="00992B32">
            <w:pPr>
              <w:jc w:val="both"/>
            </w:pPr>
          </w:p>
        </w:tc>
      </w:tr>
      <w:tr w:rsidR="00E35A08" w:rsidTr="00E35A08">
        <w:tc>
          <w:tcPr>
            <w:tcW w:w="2250" w:type="dxa"/>
          </w:tcPr>
          <w:p w:rsidR="00E35A08" w:rsidRDefault="00E35A08" w:rsidP="00992B32">
            <w:pPr>
              <w:jc w:val="both"/>
            </w:pPr>
            <w:r>
              <w:t xml:space="preserve">12:00 </w:t>
            </w:r>
            <w:proofErr w:type="spellStart"/>
            <w:r>
              <w:t>nn</w:t>
            </w:r>
            <w:proofErr w:type="spellEnd"/>
            <w:r>
              <w:t xml:space="preserve"> – 1:00 pm</w:t>
            </w:r>
          </w:p>
        </w:tc>
        <w:tc>
          <w:tcPr>
            <w:tcW w:w="1620" w:type="dxa"/>
            <w:vMerge/>
          </w:tcPr>
          <w:p w:rsidR="00E35A08" w:rsidRDefault="00E35A08" w:rsidP="00992B32">
            <w:pPr>
              <w:jc w:val="both"/>
            </w:pPr>
          </w:p>
        </w:tc>
        <w:tc>
          <w:tcPr>
            <w:tcW w:w="1980" w:type="dxa"/>
          </w:tcPr>
          <w:p w:rsidR="00E35A08" w:rsidRDefault="00E35A08" w:rsidP="00992B32">
            <w:pPr>
              <w:jc w:val="both"/>
            </w:pPr>
            <w:r>
              <w:t>L</w:t>
            </w:r>
            <w:r w:rsidR="002D2019">
              <w:t>UNCH</w:t>
            </w:r>
          </w:p>
        </w:tc>
        <w:tc>
          <w:tcPr>
            <w:tcW w:w="1710" w:type="dxa"/>
          </w:tcPr>
          <w:p w:rsidR="00E35A08" w:rsidRDefault="002D2019" w:rsidP="00992B32">
            <w:pPr>
              <w:jc w:val="both"/>
            </w:pPr>
            <w:r>
              <w:t>LUNCH</w:t>
            </w:r>
          </w:p>
        </w:tc>
        <w:tc>
          <w:tcPr>
            <w:tcW w:w="1638" w:type="dxa"/>
            <w:vMerge/>
          </w:tcPr>
          <w:p w:rsidR="00E35A08" w:rsidRDefault="00E35A08" w:rsidP="00992B32">
            <w:pPr>
              <w:jc w:val="both"/>
            </w:pPr>
          </w:p>
        </w:tc>
      </w:tr>
      <w:tr w:rsidR="00E35A08" w:rsidTr="00E35A08">
        <w:tc>
          <w:tcPr>
            <w:tcW w:w="2250" w:type="dxa"/>
          </w:tcPr>
          <w:p w:rsidR="00E35A08" w:rsidRDefault="00E35A08" w:rsidP="00992B32">
            <w:pPr>
              <w:jc w:val="both"/>
            </w:pPr>
            <w:r>
              <w:t>1:00 pm – 1:45 pm</w:t>
            </w:r>
          </w:p>
        </w:tc>
        <w:tc>
          <w:tcPr>
            <w:tcW w:w="1620" w:type="dxa"/>
            <w:vMerge/>
          </w:tcPr>
          <w:p w:rsidR="00E35A08" w:rsidRDefault="00E35A08" w:rsidP="00992B32">
            <w:pPr>
              <w:jc w:val="both"/>
            </w:pPr>
          </w:p>
        </w:tc>
        <w:tc>
          <w:tcPr>
            <w:tcW w:w="1980" w:type="dxa"/>
          </w:tcPr>
          <w:p w:rsidR="00E35A08" w:rsidRDefault="00E35A08" w:rsidP="00992B32">
            <w:pPr>
              <w:jc w:val="both"/>
            </w:pPr>
            <w:r>
              <w:t>Continuation of the Break-out Sessions</w:t>
            </w:r>
          </w:p>
        </w:tc>
        <w:tc>
          <w:tcPr>
            <w:tcW w:w="1710" w:type="dxa"/>
          </w:tcPr>
          <w:p w:rsidR="00E35A08" w:rsidRDefault="00A715C9" w:rsidP="00992B32">
            <w:pPr>
              <w:jc w:val="both"/>
            </w:pPr>
            <w:r>
              <w:t xml:space="preserve">Way Forward Planning </w:t>
            </w:r>
          </w:p>
        </w:tc>
        <w:tc>
          <w:tcPr>
            <w:tcW w:w="1638" w:type="dxa"/>
            <w:vMerge/>
          </w:tcPr>
          <w:p w:rsidR="00E35A08" w:rsidRDefault="00E35A08" w:rsidP="00992B32">
            <w:pPr>
              <w:jc w:val="both"/>
            </w:pPr>
          </w:p>
        </w:tc>
      </w:tr>
      <w:tr w:rsidR="00E35A08" w:rsidTr="00E35A08">
        <w:tc>
          <w:tcPr>
            <w:tcW w:w="2250" w:type="dxa"/>
          </w:tcPr>
          <w:p w:rsidR="00E35A08" w:rsidRDefault="00E35A08" w:rsidP="00E35A08">
            <w:pPr>
              <w:jc w:val="both"/>
            </w:pPr>
            <w:r>
              <w:t>2:30 pm – 3:45 pm</w:t>
            </w:r>
          </w:p>
        </w:tc>
        <w:tc>
          <w:tcPr>
            <w:tcW w:w="1620" w:type="dxa"/>
            <w:vMerge/>
          </w:tcPr>
          <w:p w:rsidR="00E35A08" w:rsidRDefault="00E35A08" w:rsidP="00992B32">
            <w:pPr>
              <w:jc w:val="both"/>
            </w:pPr>
          </w:p>
        </w:tc>
        <w:tc>
          <w:tcPr>
            <w:tcW w:w="1980" w:type="dxa"/>
          </w:tcPr>
          <w:p w:rsidR="00E35A08" w:rsidRDefault="00E35A08" w:rsidP="00992B32">
            <w:pPr>
              <w:jc w:val="both"/>
            </w:pPr>
            <w:r>
              <w:t>Presentation of the Break-out Session Outputs</w:t>
            </w:r>
          </w:p>
        </w:tc>
        <w:tc>
          <w:tcPr>
            <w:tcW w:w="1710" w:type="dxa"/>
          </w:tcPr>
          <w:p w:rsidR="00E35A08" w:rsidRDefault="00A715C9" w:rsidP="00992B32">
            <w:pPr>
              <w:jc w:val="both"/>
            </w:pPr>
            <w:r>
              <w:t>Other Matters</w:t>
            </w:r>
          </w:p>
        </w:tc>
        <w:tc>
          <w:tcPr>
            <w:tcW w:w="1638" w:type="dxa"/>
            <w:vMerge/>
          </w:tcPr>
          <w:p w:rsidR="00E35A08" w:rsidRDefault="00E35A08" w:rsidP="00992B32">
            <w:pPr>
              <w:jc w:val="both"/>
            </w:pPr>
          </w:p>
        </w:tc>
      </w:tr>
      <w:tr w:rsidR="00E35A08" w:rsidTr="00E35A08">
        <w:tc>
          <w:tcPr>
            <w:tcW w:w="2250" w:type="dxa"/>
          </w:tcPr>
          <w:p w:rsidR="00E35A08" w:rsidRDefault="00E35A08" w:rsidP="00E35A08">
            <w:pPr>
              <w:jc w:val="both"/>
            </w:pPr>
            <w:r>
              <w:t xml:space="preserve">3:45 pm – 4:00 pm </w:t>
            </w:r>
          </w:p>
        </w:tc>
        <w:tc>
          <w:tcPr>
            <w:tcW w:w="1620" w:type="dxa"/>
            <w:vMerge/>
          </w:tcPr>
          <w:p w:rsidR="00E35A08" w:rsidRDefault="00E35A08" w:rsidP="00992B32">
            <w:pPr>
              <w:jc w:val="both"/>
            </w:pPr>
          </w:p>
        </w:tc>
        <w:tc>
          <w:tcPr>
            <w:tcW w:w="1980" w:type="dxa"/>
          </w:tcPr>
          <w:p w:rsidR="00E35A08" w:rsidRDefault="00E35A08" w:rsidP="00992B32">
            <w:pPr>
              <w:jc w:val="both"/>
            </w:pPr>
            <w:r>
              <w:t>SNACKS</w:t>
            </w:r>
          </w:p>
        </w:tc>
        <w:tc>
          <w:tcPr>
            <w:tcW w:w="1710" w:type="dxa"/>
          </w:tcPr>
          <w:p w:rsidR="00E35A08" w:rsidRDefault="002D2019" w:rsidP="00992B32">
            <w:pPr>
              <w:jc w:val="both"/>
            </w:pPr>
            <w:r>
              <w:t>SNACKS</w:t>
            </w:r>
          </w:p>
        </w:tc>
        <w:tc>
          <w:tcPr>
            <w:tcW w:w="1638" w:type="dxa"/>
            <w:vMerge/>
          </w:tcPr>
          <w:p w:rsidR="00E35A08" w:rsidRDefault="00E35A08" w:rsidP="00992B32">
            <w:pPr>
              <w:jc w:val="both"/>
            </w:pPr>
          </w:p>
        </w:tc>
      </w:tr>
      <w:tr w:rsidR="00E35A08" w:rsidTr="00E35A08">
        <w:tc>
          <w:tcPr>
            <w:tcW w:w="2250" w:type="dxa"/>
          </w:tcPr>
          <w:p w:rsidR="00E35A08" w:rsidRDefault="00E35A08" w:rsidP="00992B32">
            <w:pPr>
              <w:jc w:val="both"/>
            </w:pPr>
            <w:r>
              <w:t>4:00 pm – 5:00 pm</w:t>
            </w:r>
          </w:p>
        </w:tc>
        <w:tc>
          <w:tcPr>
            <w:tcW w:w="1620" w:type="dxa"/>
            <w:vMerge/>
          </w:tcPr>
          <w:p w:rsidR="00E35A08" w:rsidRDefault="00E35A08" w:rsidP="00992B32">
            <w:pPr>
              <w:jc w:val="both"/>
            </w:pPr>
          </w:p>
        </w:tc>
        <w:tc>
          <w:tcPr>
            <w:tcW w:w="1980" w:type="dxa"/>
          </w:tcPr>
          <w:p w:rsidR="00E35A08" w:rsidRDefault="00E35A08" w:rsidP="00992B32">
            <w:pPr>
              <w:jc w:val="both"/>
            </w:pPr>
            <w:r>
              <w:t>Continuation of Open Discussion on the output of the Break-out Sessions</w:t>
            </w:r>
          </w:p>
        </w:tc>
        <w:tc>
          <w:tcPr>
            <w:tcW w:w="1710" w:type="dxa"/>
          </w:tcPr>
          <w:p w:rsidR="00E35A08" w:rsidRDefault="00A715C9" w:rsidP="00992B32">
            <w:pPr>
              <w:jc w:val="both"/>
            </w:pPr>
            <w:r>
              <w:t>Closing Ceremony</w:t>
            </w:r>
          </w:p>
        </w:tc>
        <w:tc>
          <w:tcPr>
            <w:tcW w:w="1638" w:type="dxa"/>
            <w:vMerge/>
          </w:tcPr>
          <w:p w:rsidR="00E35A08" w:rsidRDefault="00E35A08" w:rsidP="00992B32">
            <w:pPr>
              <w:jc w:val="both"/>
            </w:pPr>
          </w:p>
        </w:tc>
      </w:tr>
    </w:tbl>
    <w:p w:rsidR="00787AB2" w:rsidRDefault="00787AB2" w:rsidP="00992B32">
      <w:pPr>
        <w:spacing w:after="0" w:line="240" w:lineRule="auto"/>
        <w:jc w:val="both"/>
      </w:pPr>
    </w:p>
    <w:p w:rsidR="00787AB2" w:rsidRDefault="00787AB2" w:rsidP="00992B32">
      <w:pPr>
        <w:spacing w:after="0" w:line="240" w:lineRule="auto"/>
        <w:jc w:val="both"/>
      </w:pPr>
    </w:p>
    <w:p w:rsidR="00787AB2" w:rsidRDefault="00787AB2" w:rsidP="00992B32">
      <w:pPr>
        <w:spacing w:after="0" w:line="240" w:lineRule="auto"/>
        <w:jc w:val="both"/>
      </w:pPr>
      <w:r>
        <w:t xml:space="preserve">VI. Budget </w:t>
      </w:r>
    </w:p>
    <w:p w:rsidR="00787AB2" w:rsidRDefault="00787AB2" w:rsidP="00992B32">
      <w:pPr>
        <w:spacing w:after="0" w:line="240" w:lineRule="auto"/>
        <w:jc w:val="both"/>
      </w:pPr>
    </w:p>
    <w:p w:rsidR="00787AB2" w:rsidRDefault="00787AB2" w:rsidP="00992B32">
      <w:pPr>
        <w:spacing w:after="0" w:line="240" w:lineRule="auto"/>
        <w:jc w:val="both"/>
      </w:pPr>
      <w:r>
        <w:tab/>
        <w:t>To be prepare by the IFRC Southeast Asia Region</w:t>
      </w:r>
      <w:r w:rsidR="009A445F">
        <w:t>.</w:t>
      </w:r>
      <w:r>
        <w:t xml:space="preserve"> </w:t>
      </w:r>
    </w:p>
    <w:p w:rsidR="00992B32" w:rsidRDefault="00992B32" w:rsidP="00992B32">
      <w:pPr>
        <w:spacing w:after="0" w:line="240" w:lineRule="auto"/>
        <w:jc w:val="both"/>
      </w:pPr>
    </w:p>
    <w:p w:rsidR="00992B32" w:rsidRDefault="00992B32" w:rsidP="00992B32">
      <w:pPr>
        <w:spacing w:after="0" w:line="240" w:lineRule="auto"/>
        <w:jc w:val="both"/>
      </w:pPr>
    </w:p>
    <w:p w:rsidR="00992B32" w:rsidRDefault="00992B32" w:rsidP="00992B32">
      <w:pPr>
        <w:spacing w:after="0" w:line="240" w:lineRule="auto"/>
        <w:jc w:val="both"/>
      </w:pPr>
    </w:p>
    <w:p w:rsidR="00992B32" w:rsidRDefault="00992B32" w:rsidP="00992B32">
      <w:pPr>
        <w:spacing w:after="0" w:line="240" w:lineRule="auto"/>
        <w:jc w:val="both"/>
      </w:pPr>
    </w:p>
    <w:p w:rsidR="00992B32" w:rsidRDefault="00992B32" w:rsidP="00992B32">
      <w:pPr>
        <w:spacing w:after="0" w:line="240" w:lineRule="auto"/>
        <w:jc w:val="both"/>
      </w:pPr>
    </w:p>
    <w:p w:rsidR="00992B32" w:rsidRDefault="00992B32" w:rsidP="00992B32">
      <w:pPr>
        <w:spacing w:after="0" w:line="240" w:lineRule="auto"/>
        <w:jc w:val="both"/>
      </w:pPr>
    </w:p>
    <w:p w:rsidR="00485B81" w:rsidRDefault="00485B81" w:rsidP="00992B32">
      <w:pPr>
        <w:spacing w:after="0" w:line="240" w:lineRule="auto"/>
        <w:jc w:val="both"/>
      </w:pPr>
    </w:p>
    <w:p w:rsidR="00992B32" w:rsidRDefault="00992B32" w:rsidP="00992B32">
      <w:pPr>
        <w:spacing w:after="0" w:line="240" w:lineRule="auto"/>
        <w:jc w:val="both"/>
      </w:pPr>
    </w:p>
    <w:p w:rsidR="005D6E19" w:rsidRDefault="005D6E19" w:rsidP="00992B32">
      <w:pPr>
        <w:spacing w:after="0" w:line="240" w:lineRule="auto"/>
        <w:jc w:val="both"/>
      </w:pPr>
    </w:p>
    <w:p w:rsidR="00B74B22" w:rsidRDefault="00B74B22" w:rsidP="00035D61">
      <w:pPr>
        <w:jc w:val="both"/>
      </w:pPr>
    </w:p>
    <w:p w:rsidR="00B74B22" w:rsidRDefault="00B74B22" w:rsidP="00035D61">
      <w:pPr>
        <w:jc w:val="both"/>
      </w:pPr>
    </w:p>
    <w:sectPr w:rsidR="00B74B22" w:rsidSect="004636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if JONSSON" w:date="2014-10-20T15:07:00Z" w:initials="LJ">
    <w:p w:rsidR="00DC7335" w:rsidRDefault="00DC7335" w:rsidP="00DC7335">
      <w:pPr>
        <w:pStyle w:val="CommentText"/>
      </w:pPr>
      <w:r>
        <w:rPr>
          <w:rStyle w:val="CommentReference"/>
        </w:rPr>
        <w:annotationRef/>
      </w:r>
      <w:r>
        <w:t xml:space="preserve"> In parallel a AP zone task force on RDRT development was formed. The objectives and overall </w:t>
      </w:r>
      <w:proofErr w:type="spellStart"/>
      <w:r>
        <w:t>workplan</w:t>
      </w:r>
      <w:proofErr w:type="spellEnd"/>
      <w:r>
        <w:t xml:space="preserve"> is presented in the attached document ”</w:t>
      </w:r>
      <w:r w:rsidRPr="00DC7335">
        <w:t xml:space="preserve"> 2012 06 06 RDRT Direction of Travel final</w:t>
      </w:r>
      <w:r>
        <w:t>” . The task force made a major effort to do a review of the induction training for RDRT to  include modern adult training methods. That review is completed but needs to be completed with some updates of the subject matter content. The activities in the task force went down a bit during 2013 but has been revitalized from March 2014 and onwards. Refer to reports from the two phone conferences that were held this year: “</w:t>
      </w:r>
      <w:r w:rsidRPr="00DC7335">
        <w:t>meetings minutes RDRT zonal task force 140612</w:t>
      </w:r>
      <w:r>
        <w:t>”  and “</w:t>
      </w:r>
      <w:r w:rsidRPr="00DC7335">
        <w:t>AP Zone Task Force Meeting 11th of April 2014</w:t>
      </w:r>
      <w:r>
        <w:t>”</w:t>
      </w:r>
      <w:r w:rsidR="003A584B">
        <w:t xml:space="preserve"> On global level a working group was formed in 2013 with a follow up meeting in April 2014. A summary of the latter is in document “</w:t>
      </w:r>
      <w:bookmarkStart w:id="1" w:name="_GoBack"/>
      <w:bookmarkEnd w:id="1"/>
    </w:p>
  </w:comment>
  <w:comment w:id="2" w:author="Leif JONSSON" w:date="2014-10-20T14:50:00Z" w:initials="LJ">
    <w:p w:rsidR="00DC7335" w:rsidRDefault="00DC7335">
      <w:pPr>
        <w:pStyle w:val="CommentText"/>
      </w:pPr>
      <w:r>
        <w:rPr>
          <w:rStyle w:val="CommentReference"/>
        </w:rPr>
        <w:annotationRef/>
      </w:r>
      <w:r>
        <w:t>SOPs for SA region (2009) is in attachment</w:t>
      </w:r>
    </w:p>
  </w:comment>
  <w:comment w:id="3" w:author="Leif JONSSON" w:date="2014-10-20T14:55:00Z" w:initials="LJ">
    <w:p w:rsidR="00DC7335" w:rsidRDefault="00DC7335" w:rsidP="00DC7335">
      <w:pPr>
        <w:pStyle w:val="CommentText"/>
      </w:pPr>
      <w:r>
        <w:rPr>
          <w:rStyle w:val="CommentReference"/>
        </w:rPr>
        <w:annotationRef/>
      </w:r>
      <w:r>
        <w:t>Very good idea. Please be aware that a global curriculum for RDRT induction course is being developed by the RDRT Global working Group</w:t>
      </w:r>
      <w:r w:rsidR="00D45595">
        <w:t>. It still needs a bit of polishing and some more complimentary parts put into it before I can share it for your review</w:t>
      </w:r>
      <w:r>
        <w:t xml:space="preserve"> </w:t>
      </w:r>
    </w:p>
  </w:comment>
  <w:comment w:id="4" w:author="Leif JONSSON" w:date="2014-10-20T14:51:00Z" w:initials="LJ">
    <w:p w:rsidR="00DC7335" w:rsidRDefault="00DC7335">
      <w:pPr>
        <w:pStyle w:val="CommentText"/>
      </w:pPr>
      <w:r>
        <w:rPr>
          <w:rStyle w:val="CommentReference"/>
        </w:rPr>
        <w:annotationRef/>
      </w:r>
      <w:r>
        <w:t>This focal point should also be the SEA rep in the Zone RDRT task force</w:t>
      </w:r>
    </w:p>
  </w:comment>
  <w:comment w:id="5" w:author="Leif JONSSON" w:date="2014-10-20T14:52:00Z" w:initials="LJ">
    <w:p w:rsidR="00DC7335" w:rsidRDefault="00DC7335">
      <w:pPr>
        <w:pStyle w:val="CommentText"/>
      </w:pPr>
      <w:r>
        <w:rPr>
          <w:rStyle w:val="CommentReference"/>
        </w:rPr>
        <w:annotationRef/>
      </w:r>
      <w:r>
        <w:t>This is welcome but maybe we could consider a zone wide training?</w:t>
      </w:r>
    </w:p>
  </w:comment>
  <w:comment w:id="6" w:author="Leif JONSSON" w:date="2014-10-20T14:57:00Z" w:initials="LJ">
    <w:p w:rsidR="00D45595" w:rsidRDefault="00D45595">
      <w:pPr>
        <w:pStyle w:val="CommentText"/>
      </w:pPr>
      <w:r>
        <w:rPr>
          <w:rStyle w:val="CommentReference"/>
        </w:rPr>
        <w:annotationRef/>
      </w:r>
      <w:r>
        <w:t>Excellent. As mentioned above there are SOPs developed for SA that could give some inspiration. Please also be aware that the SOPs For RDRT must be harmonized with AP Zone SOP for Disaster Response.</w:t>
      </w:r>
    </w:p>
  </w:comment>
  <w:comment w:id="7" w:author="Leif JONSSON" w:date="2014-10-20T14:57:00Z" w:initials="LJ">
    <w:p w:rsidR="00D45595" w:rsidRDefault="00D45595">
      <w:pPr>
        <w:pStyle w:val="CommentText"/>
      </w:pPr>
      <w:r>
        <w:rPr>
          <w:rStyle w:val="CommentReference"/>
        </w:rPr>
        <w:annotationRef/>
      </w:r>
      <w:r>
        <w:t>Very good. I would be happy to contribute to the position paper</w:t>
      </w:r>
    </w:p>
  </w:comment>
  <w:comment w:id="8" w:author="Leif JONSSON" w:date="2014-10-20T14:59:00Z" w:initials="LJ">
    <w:p w:rsidR="00D45595" w:rsidRDefault="00D45595">
      <w:pPr>
        <w:pStyle w:val="CommentText"/>
      </w:pPr>
      <w:r>
        <w:rPr>
          <w:rStyle w:val="CommentReference"/>
        </w:rPr>
        <w:annotationRef/>
      </w:r>
      <w:r>
        <w:t xml:space="preserve">Again, please be aware that SOPs and Generic </w:t>
      </w:r>
      <w:proofErr w:type="spellStart"/>
      <w:r>
        <w:t>ToR</w:t>
      </w:r>
      <w:proofErr w:type="spellEnd"/>
      <w:r>
        <w:t xml:space="preserve"> must be harmonized with AP Zone SOP for disaster response</w:t>
      </w:r>
    </w:p>
  </w:comment>
  <w:comment w:id="9" w:author="Leif JONSSON" w:date="2014-10-20T15:05:00Z" w:initials="LJ">
    <w:p w:rsidR="00D45595" w:rsidRDefault="00D45595">
      <w:pPr>
        <w:pStyle w:val="CommentText"/>
      </w:pPr>
      <w:r>
        <w:rPr>
          <w:rStyle w:val="CommentReference"/>
        </w:rPr>
        <w:annotationRef/>
      </w:r>
      <w:r>
        <w:t xml:space="preserve"> I would like to add that we are working on a proposal to develop a zone-wide roster for RDRT and other surge capacity functions based on RMS and hope to get a positive decision on funding for this and for a zone-wide induction course fairly soon. Other activities that has been discussed in the zone task force is a zone-wide survey on the use</w:t>
      </w:r>
      <w:r w:rsidR="003A584B">
        <w:t>fulness of the RDRT concept, size of the roster for different regions covering different sectors and advocacy activities during 2015.</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4A0E"/>
    <w:multiLevelType w:val="hybridMultilevel"/>
    <w:tmpl w:val="FFE8F49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050A7DAD"/>
    <w:multiLevelType w:val="hybridMultilevel"/>
    <w:tmpl w:val="6DD863F8"/>
    <w:lvl w:ilvl="0" w:tplc="9CDC2228">
      <w:start w:val="1"/>
      <w:numFmt w:val="bullet"/>
      <w:lvlText w:val="•"/>
      <w:lvlJc w:val="left"/>
      <w:pPr>
        <w:tabs>
          <w:tab w:val="num" w:pos="720"/>
        </w:tabs>
        <w:ind w:left="720" w:hanging="360"/>
      </w:pPr>
      <w:rPr>
        <w:rFonts w:ascii="Arial" w:hAnsi="Arial" w:hint="default"/>
      </w:rPr>
    </w:lvl>
    <w:lvl w:ilvl="1" w:tplc="D4D0E5B8" w:tentative="1">
      <w:start w:val="1"/>
      <w:numFmt w:val="bullet"/>
      <w:lvlText w:val="•"/>
      <w:lvlJc w:val="left"/>
      <w:pPr>
        <w:tabs>
          <w:tab w:val="num" w:pos="1440"/>
        </w:tabs>
        <w:ind w:left="1440" w:hanging="360"/>
      </w:pPr>
      <w:rPr>
        <w:rFonts w:ascii="Arial" w:hAnsi="Arial" w:hint="default"/>
      </w:rPr>
    </w:lvl>
    <w:lvl w:ilvl="2" w:tplc="6C58DB9C" w:tentative="1">
      <w:start w:val="1"/>
      <w:numFmt w:val="bullet"/>
      <w:lvlText w:val="•"/>
      <w:lvlJc w:val="left"/>
      <w:pPr>
        <w:tabs>
          <w:tab w:val="num" w:pos="2160"/>
        </w:tabs>
        <w:ind w:left="2160" w:hanging="360"/>
      </w:pPr>
      <w:rPr>
        <w:rFonts w:ascii="Arial" w:hAnsi="Arial" w:hint="default"/>
      </w:rPr>
    </w:lvl>
    <w:lvl w:ilvl="3" w:tplc="A7C6C540" w:tentative="1">
      <w:start w:val="1"/>
      <w:numFmt w:val="bullet"/>
      <w:lvlText w:val="•"/>
      <w:lvlJc w:val="left"/>
      <w:pPr>
        <w:tabs>
          <w:tab w:val="num" w:pos="2880"/>
        </w:tabs>
        <w:ind w:left="2880" w:hanging="360"/>
      </w:pPr>
      <w:rPr>
        <w:rFonts w:ascii="Arial" w:hAnsi="Arial" w:hint="default"/>
      </w:rPr>
    </w:lvl>
    <w:lvl w:ilvl="4" w:tplc="CAA49830" w:tentative="1">
      <w:start w:val="1"/>
      <w:numFmt w:val="bullet"/>
      <w:lvlText w:val="•"/>
      <w:lvlJc w:val="left"/>
      <w:pPr>
        <w:tabs>
          <w:tab w:val="num" w:pos="3600"/>
        </w:tabs>
        <w:ind w:left="3600" w:hanging="360"/>
      </w:pPr>
      <w:rPr>
        <w:rFonts w:ascii="Arial" w:hAnsi="Arial" w:hint="default"/>
      </w:rPr>
    </w:lvl>
    <w:lvl w:ilvl="5" w:tplc="016A8D8E" w:tentative="1">
      <w:start w:val="1"/>
      <w:numFmt w:val="bullet"/>
      <w:lvlText w:val="•"/>
      <w:lvlJc w:val="left"/>
      <w:pPr>
        <w:tabs>
          <w:tab w:val="num" w:pos="4320"/>
        </w:tabs>
        <w:ind w:left="4320" w:hanging="360"/>
      </w:pPr>
      <w:rPr>
        <w:rFonts w:ascii="Arial" w:hAnsi="Arial" w:hint="default"/>
      </w:rPr>
    </w:lvl>
    <w:lvl w:ilvl="6" w:tplc="EAD6AAD0" w:tentative="1">
      <w:start w:val="1"/>
      <w:numFmt w:val="bullet"/>
      <w:lvlText w:val="•"/>
      <w:lvlJc w:val="left"/>
      <w:pPr>
        <w:tabs>
          <w:tab w:val="num" w:pos="5040"/>
        </w:tabs>
        <w:ind w:left="5040" w:hanging="360"/>
      </w:pPr>
      <w:rPr>
        <w:rFonts w:ascii="Arial" w:hAnsi="Arial" w:hint="default"/>
      </w:rPr>
    </w:lvl>
    <w:lvl w:ilvl="7" w:tplc="76B4727C" w:tentative="1">
      <w:start w:val="1"/>
      <w:numFmt w:val="bullet"/>
      <w:lvlText w:val="•"/>
      <w:lvlJc w:val="left"/>
      <w:pPr>
        <w:tabs>
          <w:tab w:val="num" w:pos="5760"/>
        </w:tabs>
        <w:ind w:left="5760" w:hanging="360"/>
      </w:pPr>
      <w:rPr>
        <w:rFonts w:ascii="Arial" w:hAnsi="Arial" w:hint="default"/>
      </w:rPr>
    </w:lvl>
    <w:lvl w:ilvl="8" w:tplc="94061314" w:tentative="1">
      <w:start w:val="1"/>
      <w:numFmt w:val="bullet"/>
      <w:lvlText w:val="•"/>
      <w:lvlJc w:val="left"/>
      <w:pPr>
        <w:tabs>
          <w:tab w:val="num" w:pos="6480"/>
        </w:tabs>
        <w:ind w:left="6480" w:hanging="360"/>
      </w:pPr>
      <w:rPr>
        <w:rFonts w:ascii="Arial" w:hAnsi="Arial" w:hint="default"/>
      </w:rPr>
    </w:lvl>
  </w:abstractNum>
  <w:abstractNum w:abstractNumId="2">
    <w:nsid w:val="0E78441B"/>
    <w:multiLevelType w:val="hybridMultilevel"/>
    <w:tmpl w:val="F6A85118"/>
    <w:lvl w:ilvl="0" w:tplc="68BA09A2">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nsid w:val="171F34C9"/>
    <w:multiLevelType w:val="hybridMultilevel"/>
    <w:tmpl w:val="A6BAE04C"/>
    <w:lvl w:ilvl="0" w:tplc="8432E544">
      <w:start w:val="1"/>
      <w:numFmt w:val="bullet"/>
      <w:lvlText w:val="•"/>
      <w:lvlJc w:val="left"/>
      <w:pPr>
        <w:tabs>
          <w:tab w:val="num" w:pos="720"/>
        </w:tabs>
        <w:ind w:left="720" w:hanging="360"/>
      </w:pPr>
      <w:rPr>
        <w:rFonts w:ascii="Arial" w:hAnsi="Arial" w:hint="default"/>
      </w:rPr>
    </w:lvl>
    <w:lvl w:ilvl="1" w:tplc="1DE43890" w:tentative="1">
      <w:start w:val="1"/>
      <w:numFmt w:val="bullet"/>
      <w:lvlText w:val="•"/>
      <w:lvlJc w:val="left"/>
      <w:pPr>
        <w:tabs>
          <w:tab w:val="num" w:pos="1440"/>
        </w:tabs>
        <w:ind w:left="1440" w:hanging="360"/>
      </w:pPr>
      <w:rPr>
        <w:rFonts w:ascii="Arial" w:hAnsi="Arial" w:hint="default"/>
      </w:rPr>
    </w:lvl>
    <w:lvl w:ilvl="2" w:tplc="7F624C1A" w:tentative="1">
      <w:start w:val="1"/>
      <w:numFmt w:val="bullet"/>
      <w:lvlText w:val="•"/>
      <w:lvlJc w:val="left"/>
      <w:pPr>
        <w:tabs>
          <w:tab w:val="num" w:pos="2160"/>
        </w:tabs>
        <w:ind w:left="2160" w:hanging="360"/>
      </w:pPr>
      <w:rPr>
        <w:rFonts w:ascii="Arial" w:hAnsi="Arial" w:hint="default"/>
      </w:rPr>
    </w:lvl>
    <w:lvl w:ilvl="3" w:tplc="FADA0E5E" w:tentative="1">
      <w:start w:val="1"/>
      <w:numFmt w:val="bullet"/>
      <w:lvlText w:val="•"/>
      <w:lvlJc w:val="left"/>
      <w:pPr>
        <w:tabs>
          <w:tab w:val="num" w:pos="2880"/>
        </w:tabs>
        <w:ind w:left="2880" w:hanging="360"/>
      </w:pPr>
      <w:rPr>
        <w:rFonts w:ascii="Arial" w:hAnsi="Arial" w:hint="default"/>
      </w:rPr>
    </w:lvl>
    <w:lvl w:ilvl="4" w:tplc="AE28B5AA" w:tentative="1">
      <w:start w:val="1"/>
      <w:numFmt w:val="bullet"/>
      <w:lvlText w:val="•"/>
      <w:lvlJc w:val="left"/>
      <w:pPr>
        <w:tabs>
          <w:tab w:val="num" w:pos="3600"/>
        </w:tabs>
        <w:ind w:left="3600" w:hanging="360"/>
      </w:pPr>
      <w:rPr>
        <w:rFonts w:ascii="Arial" w:hAnsi="Arial" w:hint="default"/>
      </w:rPr>
    </w:lvl>
    <w:lvl w:ilvl="5" w:tplc="EFC62242" w:tentative="1">
      <w:start w:val="1"/>
      <w:numFmt w:val="bullet"/>
      <w:lvlText w:val="•"/>
      <w:lvlJc w:val="left"/>
      <w:pPr>
        <w:tabs>
          <w:tab w:val="num" w:pos="4320"/>
        </w:tabs>
        <w:ind w:left="4320" w:hanging="360"/>
      </w:pPr>
      <w:rPr>
        <w:rFonts w:ascii="Arial" w:hAnsi="Arial" w:hint="default"/>
      </w:rPr>
    </w:lvl>
    <w:lvl w:ilvl="6" w:tplc="A3021CEA" w:tentative="1">
      <w:start w:val="1"/>
      <w:numFmt w:val="bullet"/>
      <w:lvlText w:val="•"/>
      <w:lvlJc w:val="left"/>
      <w:pPr>
        <w:tabs>
          <w:tab w:val="num" w:pos="5040"/>
        </w:tabs>
        <w:ind w:left="5040" w:hanging="360"/>
      </w:pPr>
      <w:rPr>
        <w:rFonts w:ascii="Arial" w:hAnsi="Arial" w:hint="default"/>
      </w:rPr>
    </w:lvl>
    <w:lvl w:ilvl="7" w:tplc="8C6C8410" w:tentative="1">
      <w:start w:val="1"/>
      <w:numFmt w:val="bullet"/>
      <w:lvlText w:val="•"/>
      <w:lvlJc w:val="left"/>
      <w:pPr>
        <w:tabs>
          <w:tab w:val="num" w:pos="5760"/>
        </w:tabs>
        <w:ind w:left="5760" w:hanging="360"/>
      </w:pPr>
      <w:rPr>
        <w:rFonts w:ascii="Arial" w:hAnsi="Arial" w:hint="default"/>
      </w:rPr>
    </w:lvl>
    <w:lvl w:ilvl="8" w:tplc="C0C6FB38" w:tentative="1">
      <w:start w:val="1"/>
      <w:numFmt w:val="bullet"/>
      <w:lvlText w:val="•"/>
      <w:lvlJc w:val="left"/>
      <w:pPr>
        <w:tabs>
          <w:tab w:val="num" w:pos="6480"/>
        </w:tabs>
        <w:ind w:left="6480" w:hanging="360"/>
      </w:pPr>
      <w:rPr>
        <w:rFonts w:ascii="Arial" w:hAnsi="Arial" w:hint="default"/>
      </w:rPr>
    </w:lvl>
  </w:abstractNum>
  <w:abstractNum w:abstractNumId="4">
    <w:nsid w:val="27261608"/>
    <w:multiLevelType w:val="hybridMultilevel"/>
    <w:tmpl w:val="E12E4346"/>
    <w:lvl w:ilvl="0" w:tplc="658AE1F6">
      <w:start w:val="1"/>
      <w:numFmt w:val="bullet"/>
      <w:lvlText w:val="•"/>
      <w:lvlJc w:val="left"/>
      <w:pPr>
        <w:tabs>
          <w:tab w:val="num" w:pos="720"/>
        </w:tabs>
        <w:ind w:left="720" w:hanging="360"/>
      </w:pPr>
      <w:rPr>
        <w:rFonts w:ascii="Arial" w:hAnsi="Arial" w:hint="default"/>
      </w:rPr>
    </w:lvl>
    <w:lvl w:ilvl="1" w:tplc="580C5598" w:tentative="1">
      <w:start w:val="1"/>
      <w:numFmt w:val="bullet"/>
      <w:lvlText w:val="•"/>
      <w:lvlJc w:val="left"/>
      <w:pPr>
        <w:tabs>
          <w:tab w:val="num" w:pos="1440"/>
        </w:tabs>
        <w:ind w:left="1440" w:hanging="360"/>
      </w:pPr>
      <w:rPr>
        <w:rFonts w:ascii="Arial" w:hAnsi="Arial" w:hint="default"/>
      </w:rPr>
    </w:lvl>
    <w:lvl w:ilvl="2" w:tplc="FC42159E" w:tentative="1">
      <w:start w:val="1"/>
      <w:numFmt w:val="bullet"/>
      <w:lvlText w:val="•"/>
      <w:lvlJc w:val="left"/>
      <w:pPr>
        <w:tabs>
          <w:tab w:val="num" w:pos="2160"/>
        </w:tabs>
        <w:ind w:left="2160" w:hanging="360"/>
      </w:pPr>
      <w:rPr>
        <w:rFonts w:ascii="Arial" w:hAnsi="Arial" w:hint="default"/>
      </w:rPr>
    </w:lvl>
    <w:lvl w:ilvl="3" w:tplc="CE8080AA" w:tentative="1">
      <w:start w:val="1"/>
      <w:numFmt w:val="bullet"/>
      <w:lvlText w:val="•"/>
      <w:lvlJc w:val="left"/>
      <w:pPr>
        <w:tabs>
          <w:tab w:val="num" w:pos="2880"/>
        </w:tabs>
        <w:ind w:left="2880" w:hanging="360"/>
      </w:pPr>
      <w:rPr>
        <w:rFonts w:ascii="Arial" w:hAnsi="Arial" w:hint="default"/>
      </w:rPr>
    </w:lvl>
    <w:lvl w:ilvl="4" w:tplc="7598ED06" w:tentative="1">
      <w:start w:val="1"/>
      <w:numFmt w:val="bullet"/>
      <w:lvlText w:val="•"/>
      <w:lvlJc w:val="left"/>
      <w:pPr>
        <w:tabs>
          <w:tab w:val="num" w:pos="3600"/>
        </w:tabs>
        <w:ind w:left="3600" w:hanging="360"/>
      </w:pPr>
      <w:rPr>
        <w:rFonts w:ascii="Arial" w:hAnsi="Arial" w:hint="default"/>
      </w:rPr>
    </w:lvl>
    <w:lvl w:ilvl="5" w:tplc="8C9A7FCA" w:tentative="1">
      <w:start w:val="1"/>
      <w:numFmt w:val="bullet"/>
      <w:lvlText w:val="•"/>
      <w:lvlJc w:val="left"/>
      <w:pPr>
        <w:tabs>
          <w:tab w:val="num" w:pos="4320"/>
        </w:tabs>
        <w:ind w:left="4320" w:hanging="360"/>
      </w:pPr>
      <w:rPr>
        <w:rFonts w:ascii="Arial" w:hAnsi="Arial" w:hint="default"/>
      </w:rPr>
    </w:lvl>
    <w:lvl w:ilvl="6" w:tplc="F64A27FC" w:tentative="1">
      <w:start w:val="1"/>
      <w:numFmt w:val="bullet"/>
      <w:lvlText w:val="•"/>
      <w:lvlJc w:val="left"/>
      <w:pPr>
        <w:tabs>
          <w:tab w:val="num" w:pos="5040"/>
        </w:tabs>
        <w:ind w:left="5040" w:hanging="360"/>
      </w:pPr>
      <w:rPr>
        <w:rFonts w:ascii="Arial" w:hAnsi="Arial" w:hint="default"/>
      </w:rPr>
    </w:lvl>
    <w:lvl w:ilvl="7" w:tplc="48487F70" w:tentative="1">
      <w:start w:val="1"/>
      <w:numFmt w:val="bullet"/>
      <w:lvlText w:val="•"/>
      <w:lvlJc w:val="left"/>
      <w:pPr>
        <w:tabs>
          <w:tab w:val="num" w:pos="5760"/>
        </w:tabs>
        <w:ind w:left="5760" w:hanging="360"/>
      </w:pPr>
      <w:rPr>
        <w:rFonts w:ascii="Arial" w:hAnsi="Arial" w:hint="default"/>
      </w:rPr>
    </w:lvl>
    <w:lvl w:ilvl="8" w:tplc="7904F5F2" w:tentative="1">
      <w:start w:val="1"/>
      <w:numFmt w:val="bullet"/>
      <w:lvlText w:val="•"/>
      <w:lvlJc w:val="left"/>
      <w:pPr>
        <w:tabs>
          <w:tab w:val="num" w:pos="6480"/>
        </w:tabs>
        <w:ind w:left="6480" w:hanging="360"/>
      </w:pPr>
      <w:rPr>
        <w:rFonts w:ascii="Arial" w:hAnsi="Arial" w:hint="default"/>
      </w:rPr>
    </w:lvl>
  </w:abstractNum>
  <w:abstractNum w:abstractNumId="5">
    <w:nsid w:val="3B224C9B"/>
    <w:multiLevelType w:val="hybridMultilevel"/>
    <w:tmpl w:val="2560539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535823F1"/>
    <w:multiLevelType w:val="hybridMultilevel"/>
    <w:tmpl w:val="38F0DB8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587B1F0F"/>
    <w:multiLevelType w:val="hybridMultilevel"/>
    <w:tmpl w:val="F7AE5694"/>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637A0EFC"/>
    <w:multiLevelType w:val="hybridMultilevel"/>
    <w:tmpl w:val="FF3425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4"/>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22"/>
    <w:rsid w:val="00035D61"/>
    <w:rsid w:val="00080334"/>
    <w:rsid w:val="002A4B07"/>
    <w:rsid w:val="002C501E"/>
    <w:rsid w:val="002D2019"/>
    <w:rsid w:val="00321A90"/>
    <w:rsid w:val="003853B0"/>
    <w:rsid w:val="00390AF3"/>
    <w:rsid w:val="003A584B"/>
    <w:rsid w:val="003D0A20"/>
    <w:rsid w:val="00447802"/>
    <w:rsid w:val="00463611"/>
    <w:rsid w:val="00485B81"/>
    <w:rsid w:val="00486F63"/>
    <w:rsid w:val="00492B9E"/>
    <w:rsid w:val="005D6E19"/>
    <w:rsid w:val="0064663E"/>
    <w:rsid w:val="00655E87"/>
    <w:rsid w:val="006D4253"/>
    <w:rsid w:val="00712619"/>
    <w:rsid w:val="00741949"/>
    <w:rsid w:val="00772597"/>
    <w:rsid w:val="00787AB2"/>
    <w:rsid w:val="007D2C8A"/>
    <w:rsid w:val="00875295"/>
    <w:rsid w:val="00941A05"/>
    <w:rsid w:val="00992B32"/>
    <w:rsid w:val="009A0C9B"/>
    <w:rsid w:val="009A445F"/>
    <w:rsid w:val="00A16E86"/>
    <w:rsid w:val="00A715C9"/>
    <w:rsid w:val="00B64D5B"/>
    <w:rsid w:val="00B74B22"/>
    <w:rsid w:val="00B85316"/>
    <w:rsid w:val="00BA66E5"/>
    <w:rsid w:val="00BB205F"/>
    <w:rsid w:val="00CE631E"/>
    <w:rsid w:val="00D45595"/>
    <w:rsid w:val="00DC7335"/>
    <w:rsid w:val="00E003A8"/>
    <w:rsid w:val="00E35A08"/>
    <w:rsid w:val="00E765B0"/>
    <w:rsid w:val="00E80608"/>
    <w:rsid w:val="00FE01E4"/>
    <w:rsid w:val="00FF4E69"/>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B22"/>
    <w:pPr>
      <w:ind w:left="720"/>
      <w:contextualSpacing/>
    </w:pPr>
  </w:style>
  <w:style w:type="table" w:styleId="TableGrid">
    <w:name w:val="Table Grid"/>
    <w:basedOn w:val="TableNormal"/>
    <w:uiPriority w:val="59"/>
    <w:rsid w:val="003853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C7335"/>
    <w:rPr>
      <w:sz w:val="16"/>
      <w:szCs w:val="16"/>
    </w:rPr>
  </w:style>
  <w:style w:type="paragraph" w:styleId="CommentText">
    <w:name w:val="annotation text"/>
    <w:basedOn w:val="Normal"/>
    <w:link w:val="CommentTextChar"/>
    <w:uiPriority w:val="99"/>
    <w:semiHidden/>
    <w:unhideWhenUsed/>
    <w:rsid w:val="00DC7335"/>
    <w:pPr>
      <w:spacing w:line="240" w:lineRule="auto"/>
    </w:pPr>
    <w:rPr>
      <w:sz w:val="20"/>
      <w:szCs w:val="20"/>
    </w:rPr>
  </w:style>
  <w:style w:type="character" w:customStyle="1" w:styleId="CommentTextChar">
    <w:name w:val="Comment Text Char"/>
    <w:basedOn w:val="DefaultParagraphFont"/>
    <w:link w:val="CommentText"/>
    <w:uiPriority w:val="99"/>
    <w:semiHidden/>
    <w:rsid w:val="00DC7335"/>
    <w:rPr>
      <w:sz w:val="20"/>
      <w:szCs w:val="20"/>
    </w:rPr>
  </w:style>
  <w:style w:type="paragraph" w:styleId="CommentSubject">
    <w:name w:val="annotation subject"/>
    <w:basedOn w:val="CommentText"/>
    <w:next w:val="CommentText"/>
    <w:link w:val="CommentSubjectChar"/>
    <w:uiPriority w:val="99"/>
    <w:semiHidden/>
    <w:unhideWhenUsed/>
    <w:rsid w:val="00DC7335"/>
    <w:rPr>
      <w:b/>
      <w:bCs/>
    </w:rPr>
  </w:style>
  <w:style w:type="character" w:customStyle="1" w:styleId="CommentSubjectChar">
    <w:name w:val="Comment Subject Char"/>
    <w:basedOn w:val="CommentTextChar"/>
    <w:link w:val="CommentSubject"/>
    <w:uiPriority w:val="99"/>
    <w:semiHidden/>
    <w:rsid w:val="00DC7335"/>
    <w:rPr>
      <w:b/>
      <w:bCs/>
      <w:sz w:val="20"/>
      <w:szCs w:val="20"/>
    </w:rPr>
  </w:style>
  <w:style w:type="paragraph" w:styleId="BalloonText">
    <w:name w:val="Balloon Text"/>
    <w:basedOn w:val="Normal"/>
    <w:link w:val="BalloonTextChar"/>
    <w:uiPriority w:val="99"/>
    <w:semiHidden/>
    <w:unhideWhenUsed/>
    <w:rsid w:val="00DC7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B22"/>
    <w:pPr>
      <w:ind w:left="720"/>
      <w:contextualSpacing/>
    </w:pPr>
  </w:style>
  <w:style w:type="table" w:styleId="TableGrid">
    <w:name w:val="Table Grid"/>
    <w:basedOn w:val="TableNormal"/>
    <w:uiPriority w:val="59"/>
    <w:rsid w:val="003853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C7335"/>
    <w:rPr>
      <w:sz w:val="16"/>
      <w:szCs w:val="16"/>
    </w:rPr>
  </w:style>
  <w:style w:type="paragraph" w:styleId="CommentText">
    <w:name w:val="annotation text"/>
    <w:basedOn w:val="Normal"/>
    <w:link w:val="CommentTextChar"/>
    <w:uiPriority w:val="99"/>
    <w:semiHidden/>
    <w:unhideWhenUsed/>
    <w:rsid w:val="00DC7335"/>
    <w:pPr>
      <w:spacing w:line="240" w:lineRule="auto"/>
    </w:pPr>
    <w:rPr>
      <w:sz w:val="20"/>
      <w:szCs w:val="20"/>
    </w:rPr>
  </w:style>
  <w:style w:type="character" w:customStyle="1" w:styleId="CommentTextChar">
    <w:name w:val="Comment Text Char"/>
    <w:basedOn w:val="DefaultParagraphFont"/>
    <w:link w:val="CommentText"/>
    <w:uiPriority w:val="99"/>
    <w:semiHidden/>
    <w:rsid w:val="00DC7335"/>
    <w:rPr>
      <w:sz w:val="20"/>
      <w:szCs w:val="20"/>
    </w:rPr>
  </w:style>
  <w:style w:type="paragraph" w:styleId="CommentSubject">
    <w:name w:val="annotation subject"/>
    <w:basedOn w:val="CommentText"/>
    <w:next w:val="CommentText"/>
    <w:link w:val="CommentSubjectChar"/>
    <w:uiPriority w:val="99"/>
    <w:semiHidden/>
    <w:unhideWhenUsed/>
    <w:rsid w:val="00DC7335"/>
    <w:rPr>
      <w:b/>
      <w:bCs/>
    </w:rPr>
  </w:style>
  <w:style w:type="character" w:customStyle="1" w:styleId="CommentSubjectChar">
    <w:name w:val="Comment Subject Char"/>
    <w:basedOn w:val="CommentTextChar"/>
    <w:link w:val="CommentSubject"/>
    <w:uiPriority w:val="99"/>
    <w:semiHidden/>
    <w:rsid w:val="00DC7335"/>
    <w:rPr>
      <w:b/>
      <w:bCs/>
      <w:sz w:val="20"/>
      <w:szCs w:val="20"/>
    </w:rPr>
  </w:style>
  <w:style w:type="paragraph" w:styleId="BalloonText">
    <w:name w:val="Balloon Text"/>
    <w:basedOn w:val="Normal"/>
    <w:link w:val="BalloonTextChar"/>
    <w:uiPriority w:val="99"/>
    <w:semiHidden/>
    <w:unhideWhenUsed/>
    <w:rsid w:val="00DC7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32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Leif JONSSON</cp:lastModifiedBy>
  <cp:revision>2</cp:revision>
  <dcterms:created xsi:type="dcterms:W3CDTF">2014-10-20T07:22:00Z</dcterms:created>
  <dcterms:modified xsi:type="dcterms:W3CDTF">2014-10-20T07:22:00Z</dcterms:modified>
</cp:coreProperties>
</file>