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C67" w:rsidRDefault="00F94139" w:rsidP="00D17C67">
      <w:pPr>
        <w:rPr>
          <w:color w:val="FF0000"/>
        </w:rPr>
      </w:pPr>
      <w:r w:rsidRPr="003A6CA9">
        <w:rPr>
          <w:color w:val="FF0000"/>
        </w:rPr>
        <w:t xml:space="preserve">International Federation of Red Cross and Red Crescent Societies </w:t>
      </w:r>
    </w:p>
    <w:p w:rsidR="00960E16" w:rsidRPr="003A6CA9" w:rsidRDefault="00960E16" w:rsidP="00D17C67">
      <w:pPr>
        <w:rPr>
          <w:color w:val="FF0000"/>
        </w:rPr>
      </w:pPr>
    </w:p>
    <w:p w:rsidR="00960E16" w:rsidRDefault="00960E16" w:rsidP="00960E16">
      <w:pPr>
        <w:pStyle w:val="Projectsubtitle"/>
        <w:jc w:val="center"/>
        <w:rPr>
          <w:rFonts w:ascii="Arial Bold" w:hAnsi="Arial Bold"/>
          <w:sz w:val="52"/>
        </w:rPr>
      </w:pPr>
      <w:r>
        <w:rPr>
          <w:rFonts w:ascii="Arial Bold" w:hAnsi="Arial Bold"/>
          <w:sz w:val="52"/>
        </w:rPr>
        <w:t xml:space="preserve">Consultation and Revision of the Principles and Rules for Disaster Relief </w:t>
      </w:r>
    </w:p>
    <w:p w:rsidR="00D17C67" w:rsidRDefault="00960E16" w:rsidP="00960E16">
      <w:pPr>
        <w:pStyle w:val="Projectsubtitle"/>
        <w:jc w:val="center"/>
        <w:rPr>
          <w:rStyle w:val="Hyperlink"/>
          <w:rFonts w:ascii="Arial" w:hAnsi="Arial"/>
        </w:rPr>
      </w:pPr>
      <w:r>
        <w:rPr>
          <w:rFonts w:ascii="Arial Bold" w:hAnsi="Arial Bold"/>
          <w:sz w:val="52"/>
        </w:rPr>
        <w:t xml:space="preserve">– </w:t>
      </w:r>
      <w:r w:rsidR="00400B3F">
        <w:rPr>
          <w:rFonts w:ascii="Arial Bold" w:hAnsi="Arial Bold"/>
          <w:sz w:val="52"/>
        </w:rPr>
        <w:t xml:space="preserve">Project </w:t>
      </w:r>
      <w:r>
        <w:rPr>
          <w:rFonts w:ascii="Arial Bold" w:hAnsi="Arial Bold"/>
          <w:sz w:val="52"/>
        </w:rPr>
        <w:t>Work Plan</w:t>
      </w:r>
      <w:r w:rsidR="00E564FD">
        <w:rPr>
          <w:rFonts w:ascii="Arial Bold" w:hAnsi="Arial Bold"/>
          <w:sz w:val="52"/>
        </w:rPr>
        <w:t xml:space="preserve"> 2012-2013</w:t>
      </w:r>
      <w:r>
        <w:rPr>
          <w:rFonts w:ascii="Arial Bold" w:hAnsi="Arial Bold"/>
          <w:sz w:val="52"/>
        </w:rPr>
        <w:t xml:space="preserve"> – </w:t>
      </w:r>
    </w:p>
    <w:p w:rsidR="00960E16" w:rsidRDefault="00960E16" w:rsidP="00D17C67">
      <w:pPr>
        <w:pStyle w:val="Projectsubtitle"/>
        <w:rPr>
          <w:rStyle w:val="Hyperlink"/>
          <w:color w:val="auto"/>
          <w:u w:val="none"/>
        </w:rPr>
      </w:pPr>
    </w:p>
    <w:p w:rsidR="00D265E2" w:rsidRDefault="00960E16">
      <w:pPr>
        <w:pStyle w:val="Projectsubtitle"/>
      </w:pPr>
      <w:r>
        <w:rPr>
          <w:rStyle w:val="Hyperlink"/>
          <w:color w:val="auto"/>
          <w:u w:val="none"/>
        </w:rPr>
        <w:t>Principles and Rules of Disaster Relief</w:t>
      </w:r>
      <w:r w:rsidR="00F94139">
        <w:rPr>
          <w:rStyle w:val="Hyperlink"/>
          <w:color w:val="auto"/>
          <w:u w:val="none"/>
        </w:rPr>
        <w:t xml:space="preserve"> / </w:t>
      </w:r>
      <w:r>
        <w:rPr>
          <w:rStyle w:val="Hyperlink"/>
          <w:color w:val="FF0000"/>
          <w:u w:val="none"/>
        </w:rPr>
        <w:t>Geneva</w:t>
      </w:r>
      <w:r w:rsidR="00F94139">
        <w:rPr>
          <w:rStyle w:val="Hyperlink"/>
          <w:color w:val="auto"/>
          <w:u w:val="none"/>
        </w:rPr>
        <w:t xml:space="preserve"> </w:t>
      </w:r>
      <w:r w:rsidR="00F94139" w:rsidRPr="00B470E5">
        <w:rPr>
          <w:color w:val="595959"/>
        </w:rPr>
        <w:t xml:space="preserve">/ </w:t>
      </w:r>
      <w:r w:rsidR="009C2F80">
        <w:rPr>
          <w:color w:val="595959"/>
        </w:rPr>
        <w:t xml:space="preserve">March </w:t>
      </w:r>
      <w:r>
        <w:rPr>
          <w:color w:val="595959"/>
        </w:rPr>
        <w:t>2012</w:t>
      </w:r>
    </w:p>
    <w:p w:rsidR="00CA2AB8" w:rsidRDefault="00CA2AB8">
      <w:pPr>
        <w:pStyle w:val="TOCHeading"/>
      </w:pPr>
      <w:r>
        <w:t xml:space="preserve">Purpose of </w:t>
      </w:r>
      <w:r w:rsidR="004A1015">
        <w:t>this document</w:t>
      </w:r>
    </w:p>
    <w:p w:rsidR="00D265E2" w:rsidRDefault="00CA2AB8">
      <w:pPr>
        <w:jc w:val="both"/>
      </w:pPr>
      <w:r>
        <w:t>This work plan describes the process of consultation and revision of the Principles and Rules for Red Cross and Red Crescent Disaster Relief (P&amp;R) during 2012-2013. It outlines a) how the consultations will be undertaken b) how revisions to the document will be done c) and how consultat</w:t>
      </w:r>
      <w:r w:rsidR="009C2F80">
        <w:t>ions will be done on the draft revised</w:t>
      </w:r>
      <w:r>
        <w:t xml:space="preserve"> document. </w:t>
      </w:r>
      <w:r w:rsidR="004A1015">
        <w:t>The work plan focuses on consultation and revision activities in 2012-2013</w:t>
      </w:r>
      <w:r w:rsidR="009C2F80">
        <w:t xml:space="preserve"> with the aim</w:t>
      </w:r>
      <w:r w:rsidR="004A1015">
        <w:t xml:space="preserve"> of resulting in a revised P&amp;R document by the Governing Board and General Assembly in 2013. However, it does not cover activities beyond 2013 or activities which are not directly linked to the consultation or revision of the P&amp;R (e.g. establishing a compliance mechanism).  </w:t>
      </w:r>
      <w:r>
        <w:t xml:space="preserve">   </w:t>
      </w:r>
    </w:p>
    <w:p w:rsidR="00EE6CF5" w:rsidRDefault="00EE6CF5">
      <w:pPr>
        <w:pStyle w:val="TOCHeading"/>
      </w:pPr>
      <w:r>
        <w:t>Contents</w:t>
      </w:r>
    </w:p>
    <w:p w:rsidR="00586BCF" w:rsidRDefault="00181628">
      <w:pPr>
        <w:pStyle w:val="TOC1"/>
        <w:tabs>
          <w:tab w:val="left" w:pos="440"/>
          <w:tab w:val="right" w:leader="dot" w:pos="9622"/>
        </w:tabs>
        <w:rPr>
          <w:rFonts w:asciiTheme="minorHAnsi" w:eastAsiaTheme="minorEastAsia" w:hAnsiTheme="minorHAnsi" w:cstheme="minorBidi"/>
          <w:noProof/>
          <w:szCs w:val="22"/>
          <w:lang w:val="en-GB" w:eastAsia="en-GB"/>
        </w:rPr>
      </w:pPr>
      <w:r w:rsidRPr="00181628">
        <w:fldChar w:fldCharType="begin"/>
      </w:r>
      <w:r w:rsidR="00EE6CF5">
        <w:instrText xml:space="preserve"> TOC \o "1-3" \h \z \u </w:instrText>
      </w:r>
      <w:r w:rsidRPr="00181628">
        <w:fldChar w:fldCharType="separate"/>
      </w:r>
      <w:hyperlink w:anchor="_Toc319944307" w:history="1">
        <w:r w:rsidR="00586BCF" w:rsidRPr="00D742DC">
          <w:rPr>
            <w:rStyle w:val="Hyperlink"/>
            <w:b/>
            <w:noProof/>
          </w:rPr>
          <w:t>1.</w:t>
        </w:r>
        <w:r w:rsidR="00586BCF">
          <w:rPr>
            <w:rFonts w:asciiTheme="minorHAnsi" w:eastAsiaTheme="minorEastAsia" w:hAnsiTheme="minorHAnsi" w:cstheme="minorBidi"/>
            <w:noProof/>
            <w:szCs w:val="22"/>
            <w:lang w:val="en-GB" w:eastAsia="en-GB"/>
          </w:rPr>
          <w:tab/>
        </w:r>
        <w:r w:rsidR="00586BCF" w:rsidRPr="00D742DC">
          <w:rPr>
            <w:rStyle w:val="Hyperlink"/>
            <w:noProof/>
          </w:rPr>
          <w:t>Background</w:t>
        </w:r>
        <w:r w:rsidR="00586BCF">
          <w:rPr>
            <w:noProof/>
            <w:webHidden/>
          </w:rPr>
          <w:tab/>
        </w:r>
        <w:r>
          <w:rPr>
            <w:noProof/>
            <w:webHidden/>
          </w:rPr>
          <w:fldChar w:fldCharType="begin"/>
        </w:r>
        <w:r w:rsidR="00586BCF">
          <w:rPr>
            <w:noProof/>
            <w:webHidden/>
          </w:rPr>
          <w:instrText xml:space="preserve"> PAGEREF _Toc319944307 \h </w:instrText>
        </w:r>
        <w:r>
          <w:rPr>
            <w:noProof/>
            <w:webHidden/>
          </w:rPr>
        </w:r>
        <w:r>
          <w:rPr>
            <w:noProof/>
            <w:webHidden/>
          </w:rPr>
          <w:fldChar w:fldCharType="separate"/>
        </w:r>
        <w:r w:rsidR="00586BCF">
          <w:rPr>
            <w:noProof/>
            <w:webHidden/>
          </w:rPr>
          <w:t>2</w:t>
        </w:r>
        <w:r>
          <w:rPr>
            <w:noProof/>
            <w:webHidden/>
          </w:rPr>
          <w:fldChar w:fldCharType="end"/>
        </w:r>
      </w:hyperlink>
    </w:p>
    <w:p w:rsidR="00586BCF" w:rsidRDefault="00181628">
      <w:pPr>
        <w:pStyle w:val="TOC1"/>
        <w:tabs>
          <w:tab w:val="left" w:pos="440"/>
          <w:tab w:val="right" w:leader="dot" w:pos="9622"/>
        </w:tabs>
        <w:rPr>
          <w:rFonts w:asciiTheme="minorHAnsi" w:eastAsiaTheme="minorEastAsia" w:hAnsiTheme="minorHAnsi" w:cstheme="minorBidi"/>
          <w:noProof/>
          <w:szCs w:val="22"/>
          <w:lang w:val="en-GB" w:eastAsia="en-GB"/>
        </w:rPr>
      </w:pPr>
      <w:hyperlink w:anchor="_Toc319944308" w:history="1">
        <w:r w:rsidR="00586BCF" w:rsidRPr="00D742DC">
          <w:rPr>
            <w:rStyle w:val="Hyperlink"/>
            <w:b/>
            <w:noProof/>
          </w:rPr>
          <w:t>2.</w:t>
        </w:r>
        <w:r w:rsidR="00586BCF">
          <w:rPr>
            <w:rFonts w:asciiTheme="minorHAnsi" w:eastAsiaTheme="minorEastAsia" w:hAnsiTheme="minorHAnsi" w:cstheme="minorBidi"/>
            <w:noProof/>
            <w:szCs w:val="22"/>
            <w:lang w:val="en-GB" w:eastAsia="en-GB"/>
          </w:rPr>
          <w:tab/>
        </w:r>
        <w:r w:rsidR="00586BCF" w:rsidRPr="00D742DC">
          <w:rPr>
            <w:rStyle w:val="Hyperlink"/>
            <w:noProof/>
          </w:rPr>
          <w:t>Purpose of the Consultation and Revision Project</w:t>
        </w:r>
        <w:r w:rsidR="00586BCF">
          <w:rPr>
            <w:noProof/>
            <w:webHidden/>
          </w:rPr>
          <w:tab/>
        </w:r>
        <w:r>
          <w:rPr>
            <w:noProof/>
            <w:webHidden/>
          </w:rPr>
          <w:fldChar w:fldCharType="begin"/>
        </w:r>
        <w:r w:rsidR="00586BCF">
          <w:rPr>
            <w:noProof/>
            <w:webHidden/>
          </w:rPr>
          <w:instrText xml:space="preserve"> PAGEREF _Toc319944308 \h </w:instrText>
        </w:r>
        <w:r>
          <w:rPr>
            <w:noProof/>
            <w:webHidden/>
          </w:rPr>
        </w:r>
        <w:r>
          <w:rPr>
            <w:noProof/>
            <w:webHidden/>
          </w:rPr>
          <w:fldChar w:fldCharType="separate"/>
        </w:r>
        <w:r w:rsidR="00586BCF">
          <w:rPr>
            <w:noProof/>
            <w:webHidden/>
          </w:rPr>
          <w:t>2</w:t>
        </w:r>
        <w:r>
          <w:rPr>
            <w:noProof/>
            <w:webHidden/>
          </w:rPr>
          <w:fldChar w:fldCharType="end"/>
        </w:r>
      </w:hyperlink>
    </w:p>
    <w:p w:rsidR="00586BCF" w:rsidRDefault="00181628">
      <w:pPr>
        <w:pStyle w:val="TOC1"/>
        <w:tabs>
          <w:tab w:val="left" w:pos="440"/>
          <w:tab w:val="right" w:leader="dot" w:pos="9622"/>
        </w:tabs>
        <w:rPr>
          <w:rFonts w:asciiTheme="minorHAnsi" w:eastAsiaTheme="minorEastAsia" w:hAnsiTheme="minorHAnsi" w:cstheme="minorBidi"/>
          <w:noProof/>
          <w:szCs w:val="22"/>
          <w:lang w:val="en-GB" w:eastAsia="en-GB"/>
        </w:rPr>
      </w:pPr>
      <w:hyperlink w:anchor="_Toc319944309" w:history="1">
        <w:r w:rsidR="00586BCF" w:rsidRPr="00D742DC">
          <w:rPr>
            <w:rStyle w:val="Hyperlink"/>
            <w:b/>
            <w:noProof/>
          </w:rPr>
          <w:t>3.</w:t>
        </w:r>
        <w:r w:rsidR="00586BCF">
          <w:rPr>
            <w:rFonts w:asciiTheme="minorHAnsi" w:eastAsiaTheme="minorEastAsia" w:hAnsiTheme="minorHAnsi" w:cstheme="minorBidi"/>
            <w:noProof/>
            <w:szCs w:val="22"/>
            <w:lang w:val="en-GB" w:eastAsia="en-GB"/>
          </w:rPr>
          <w:tab/>
        </w:r>
        <w:r w:rsidR="00586BCF" w:rsidRPr="00D742DC">
          <w:rPr>
            <w:rStyle w:val="Hyperlink"/>
            <w:noProof/>
          </w:rPr>
          <w:t>Priority Areas for Consultation and Consultation Modalities</w:t>
        </w:r>
        <w:r w:rsidR="00586BCF">
          <w:rPr>
            <w:noProof/>
            <w:webHidden/>
          </w:rPr>
          <w:tab/>
        </w:r>
        <w:r>
          <w:rPr>
            <w:noProof/>
            <w:webHidden/>
          </w:rPr>
          <w:fldChar w:fldCharType="begin"/>
        </w:r>
        <w:r w:rsidR="00586BCF">
          <w:rPr>
            <w:noProof/>
            <w:webHidden/>
          </w:rPr>
          <w:instrText xml:space="preserve"> PAGEREF _Toc319944309 \h </w:instrText>
        </w:r>
        <w:r>
          <w:rPr>
            <w:noProof/>
            <w:webHidden/>
          </w:rPr>
        </w:r>
        <w:r>
          <w:rPr>
            <w:noProof/>
            <w:webHidden/>
          </w:rPr>
          <w:fldChar w:fldCharType="separate"/>
        </w:r>
        <w:r w:rsidR="00586BCF">
          <w:rPr>
            <w:noProof/>
            <w:webHidden/>
          </w:rPr>
          <w:t>2</w:t>
        </w:r>
        <w:r>
          <w:rPr>
            <w:noProof/>
            <w:webHidden/>
          </w:rPr>
          <w:fldChar w:fldCharType="end"/>
        </w:r>
      </w:hyperlink>
    </w:p>
    <w:p w:rsidR="00586BCF" w:rsidRDefault="00181628">
      <w:pPr>
        <w:pStyle w:val="TOC1"/>
        <w:tabs>
          <w:tab w:val="left" w:pos="440"/>
          <w:tab w:val="right" w:leader="dot" w:pos="9622"/>
        </w:tabs>
        <w:rPr>
          <w:rFonts w:asciiTheme="minorHAnsi" w:eastAsiaTheme="minorEastAsia" w:hAnsiTheme="minorHAnsi" w:cstheme="minorBidi"/>
          <w:noProof/>
          <w:szCs w:val="22"/>
          <w:lang w:val="en-GB" w:eastAsia="en-GB"/>
        </w:rPr>
      </w:pPr>
      <w:hyperlink w:anchor="_Toc319944310" w:history="1">
        <w:r w:rsidR="00586BCF" w:rsidRPr="00D742DC">
          <w:rPr>
            <w:rStyle w:val="Hyperlink"/>
            <w:b/>
            <w:noProof/>
          </w:rPr>
          <w:t>4.</w:t>
        </w:r>
        <w:r w:rsidR="00586BCF">
          <w:rPr>
            <w:rFonts w:asciiTheme="minorHAnsi" w:eastAsiaTheme="minorEastAsia" w:hAnsiTheme="minorHAnsi" w:cstheme="minorBidi"/>
            <w:noProof/>
            <w:szCs w:val="22"/>
            <w:lang w:val="en-GB" w:eastAsia="en-GB"/>
          </w:rPr>
          <w:tab/>
        </w:r>
        <w:r w:rsidR="00586BCF" w:rsidRPr="00D742DC">
          <w:rPr>
            <w:rStyle w:val="Hyperlink"/>
            <w:noProof/>
          </w:rPr>
          <w:t>Consultation Schedule</w:t>
        </w:r>
        <w:r w:rsidR="00586BCF">
          <w:rPr>
            <w:noProof/>
            <w:webHidden/>
          </w:rPr>
          <w:tab/>
        </w:r>
        <w:r>
          <w:rPr>
            <w:noProof/>
            <w:webHidden/>
          </w:rPr>
          <w:fldChar w:fldCharType="begin"/>
        </w:r>
        <w:r w:rsidR="00586BCF">
          <w:rPr>
            <w:noProof/>
            <w:webHidden/>
          </w:rPr>
          <w:instrText xml:space="preserve"> PAGEREF _Toc319944310 \h </w:instrText>
        </w:r>
        <w:r>
          <w:rPr>
            <w:noProof/>
            <w:webHidden/>
          </w:rPr>
        </w:r>
        <w:r>
          <w:rPr>
            <w:noProof/>
            <w:webHidden/>
          </w:rPr>
          <w:fldChar w:fldCharType="separate"/>
        </w:r>
        <w:r w:rsidR="00586BCF">
          <w:rPr>
            <w:noProof/>
            <w:webHidden/>
          </w:rPr>
          <w:t>4</w:t>
        </w:r>
        <w:r>
          <w:rPr>
            <w:noProof/>
            <w:webHidden/>
          </w:rPr>
          <w:fldChar w:fldCharType="end"/>
        </w:r>
      </w:hyperlink>
    </w:p>
    <w:p w:rsidR="00586BCF" w:rsidRDefault="00181628">
      <w:pPr>
        <w:pStyle w:val="TOC1"/>
        <w:tabs>
          <w:tab w:val="left" w:pos="440"/>
          <w:tab w:val="right" w:leader="dot" w:pos="9622"/>
        </w:tabs>
        <w:rPr>
          <w:rFonts w:asciiTheme="minorHAnsi" w:eastAsiaTheme="minorEastAsia" w:hAnsiTheme="minorHAnsi" w:cstheme="minorBidi"/>
          <w:noProof/>
          <w:szCs w:val="22"/>
          <w:lang w:val="en-GB" w:eastAsia="en-GB"/>
        </w:rPr>
      </w:pPr>
      <w:hyperlink w:anchor="_Toc319944311" w:history="1">
        <w:r w:rsidR="00586BCF" w:rsidRPr="00D742DC">
          <w:rPr>
            <w:rStyle w:val="Hyperlink"/>
            <w:b/>
            <w:noProof/>
          </w:rPr>
          <w:t>5.</w:t>
        </w:r>
        <w:r w:rsidR="00586BCF">
          <w:rPr>
            <w:rFonts w:asciiTheme="minorHAnsi" w:eastAsiaTheme="minorEastAsia" w:hAnsiTheme="minorHAnsi" w:cstheme="minorBidi"/>
            <w:noProof/>
            <w:szCs w:val="22"/>
            <w:lang w:val="en-GB" w:eastAsia="en-GB"/>
          </w:rPr>
          <w:tab/>
        </w:r>
        <w:r w:rsidR="00586BCF" w:rsidRPr="00D742DC">
          <w:rPr>
            <w:rStyle w:val="Hyperlink"/>
            <w:noProof/>
          </w:rPr>
          <w:t>National Society Consultation Workshops</w:t>
        </w:r>
        <w:r w:rsidR="00586BCF">
          <w:rPr>
            <w:noProof/>
            <w:webHidden/>
          </w:rPr>
          <w:tab/>
        </w:r>
        <w:r>
          <w:rPr>
            <w:noProof/>
            <w:webHidden/>
          </w:rPr>
          <w:fldChar w:fldCharType="begin"/>
        </w:r>
        <w:r w:rsidR="00586BCF">
          <w:rPr>
            <w:noProof/>
            <w:webHidden/>
          </w:rPr>
          <w:instrText xml:space="preserve"> PAGEREF _Toc319944311 \h </w:instrText>
        </w:r>
        <w:r>
          <w:rPr>
            <w:noProof/>
            <w:webHidden/>
          </w:rPr>
        </w:r>
        <w:r>
          <w:rPr>
            <w:noProof/>
            <w:webHidden/>
          </w:rPr>
          <w:fldChar w:fldCharType="separate"/>
        </w:r>
        <w:r w:rsidR="00586BCF">
          <w:rPr>
            <w:noProof/>
            <w:webHidden/>
          </w:rPr>
          <w:t>5</w:t>
        </w:r>
        <w:r>
          <w:rPr>
            <w:noProof/>
            <w:webHidden/>
          </w:rPr>
          <w:fldChar w:fldCharType="end"/>
        </w:r>
      </w:hyperlink>
    </w:p>
    <w:p w:rsidR="00586BCF" w:rsidRDefault="00181628">
      <w:pPr>
        <w:pStyle w:val="TOC2"/>
        <w:tabs>
          <w:tab w:val="left" w:pos="880"/>
          <w:tab w:val="right" w:leader="dot" w:pos="9622"/>
        </w:tabs>
        <w:rPr>
          <w:rFonts w:asciiTheme="minorHAnsi" w:eastAsiaTheme="minorEastAsia" w:hAnsiTheme="minorHAnsi" w:cstheme="minorBidi"/>
          <w:noProof/>
          <w:szCs w:val="22"/>
          <w:lang w:val="en-GB" w:eastAsia="en-GB"/>
        </w:rPr>
      </w:pPr>
      <w:hyperlink w:anchor="_Toc319944312" w:history="1">
        <w:r w:rsidR="00586BCF" w:rsidRPr="00D742DC">
          <w:rPr>
            <w:rStyle w:val="Hyperlink"/>
            <w:noProof/>
          </w:rPr>
          <w:t>5.1</w:t>
        </w:r>
        <w:r w:rsidR="00586BCF">
          <w:rPr>
            <w:rFonts w:asciiTheme="minorHAnsi" w:eastAsiaTheme="minorEastAsia" w:hAnsiTheme="minorHAnsi" w:cstheme="minorBidi"/>
            <w:noProof/>
            <w:szCs w:val="22"/>
            <w:lang w:val="en-GB" w:eastAsia="en-GB"/>
          </w:rPr>
          <w:tab/>
        </w:r>
        <w:r w:rsidR="00586BCF" w:rsidRPr="00D742DC">
          <w:rPr>
            <w:rStyle w:val="Hyperlink"/>
            <w:noProof/>
          </w:rPr>
          <w:t>Methodology</w:t>
        </w:r>
        <w:r w:rsidR="00586BCF">
          <w:rPr>
            <w:noProof/>
            <w:webHidden/>
          </w:rPr>
          <w:tab/>
        </w:r>
        <w:r>
          <w:rPr>
            <w:noProof/>
            <w:webHidden/>
          </w:rPr>
          <w:fldChar w:fldCharType="begin"/>
        </w:r>
        <w:r w:rsidR="00586BCF">
          <w:rPr>
            <w:noProof/>
            <w:webHidden/>
          </w:rPr>
          <w:instrText xml:space="preserve"> PAGEREF _Toc319944312 \h </w:instrText>
        </w:r>
        <w:r>
          <w:rPr>
            <w:noProof/>
            <w:webHidden/>
          </w:rPr>
        </w:r>
        <w:r>
          <w:rPr>
            <w:noProof/>
            <w:webHidden/>
          </w:rPr>
          <w:fldChar w:fldCharType="separate"/>
        </w:r>
        <w:r w:rsidR="00586BCF">
          <w:rPr>
            <w:noProof/>
            <w:webHidden/>
          </w:rPr>
          <w:t>5</w:t>
        </w:r>
        <w:r>
          <w:rPr>
            <w:noProof/>
            <w:webHidden/>
          </w:rPr>
          <w:fldChar w:fldCharType="end"/>
        </w:r>
      </w:hyperlink>
    </w:p>
    <w:p w:rsidR="00586BCF" w:rsidRDefault="00181628">
      <w:pPr>
        <w:pStyle w:val="TOC2"/>
        <w:tabs>
          <w:tab w:val="left" w:pos="880"/>
          <w:tab w:val="right" w:leader="dot" w:pos="9622"/>
        </w:tabs>
        <w:rPr>
          <w:rFonts w:asciiTheme="minorHAnsi" w:eastAsiaTheme="minorEastAsia" w:hAnsiTheme="minorHAnsi" w:cstheme="minorBidi"/>
          <w:noProof/>
          <w:szCs w:val="22"/>
          <w:lang w:val="en-GB" w:eastAsia="en-GB"/>
        </w:rPr>
      </w:pPr>
      <w:hyperlink w:anchor="_Toc319944314" w:history="1">
        <w:r w:rsidR="00586BCF" w:rsidRPr="00D742DC">
          <w:rPr>
            <w:rStyle w:val="Hyperlink"/>
            <w:noProof/>
          </w:rPr>
          <w:t>5.2</w:t>
        </w:r>
        <w:r w:rsidR="00586BCF">
          <w:rPr>
            <w:rFonts w:asciiTheme="minorHAnsi" w:eastAsiaTheme="minorEastAsia" w:hAnsiTheme="minorHAnsi" w:cstheme="minorBidi"/>
            <w:noProof/>
            <w:szCs w:val="22"/>
            <w:lang w:val="en-GB" w:eastAsia="en-GB"/>
          </w:rPr>
          <w:tab/>
        </w:r>
        <w:r w:rsidR="00586BCF" w:rsidRPr="00D742DC">
          <w:rPr>
            <w:rStyle w:val="Hyperlink"/>
            <w:noProof/>
          </w:rPr>
          <w:t>DCMAB members’ role</w:t>
        </w:r>
        <w:r w:rsidR="00586BCF">
          <w:rPr>
            <w:noProof/>
            <w:webHidden/>
          </w:rPr>
          <w:tab/>
        </w:r>
        <w:r>
          <w:rPr>
            <w:noProof/>
            <w:webHidden/>
          </w:rPr>
          <w:fldChar w:fldCharType="begin"/>
        </w:r>
        <w:r w:rsidR="00586BCF">
          <w:rPr>
            <w:noProof/>
            <w:webHidden/>
          </w:rPr>
          <w:instrText xml:space="preserve"> PAGEREF _Toc319944314 \h </w:instrText>
        </w:r>
        <w:r>
          <w:rPr>
            <w:noProof/>
            <w:webHidden/>
          </w:rPr>
        </w:r>
        <w:r>
          <w:rPr>
            <w:noProof/>
            <w:webHidden/>
          </w:rPr>
          <w:fldChar w:fldCharType="separate"/>
        </w:r>
        <w:r w:rsidR="00586BCF">
          <w:rPr>
            <w:noProof/>
            <w:webHidden/>
          </w:rPr>
          <w:t>5</w:t>
        </w:r>
        <w:r>
          <w:rPr>
            <w:noProof/>
            <w:webHidden/>
          </w:rPr>
          <w:fldChar w:fldCharType="end"/>
        </w:r>
      </w:hyperlink>
    </w:p>
    <w:p w:rsidR="00586BCF" w:rsidRDefault="00181628">
      <w:pPr>
        <w:pStyle w:val="TOC2"/>
        <w:tabs>
          <w:tab w:val="left" w:pos="880"/>
          <w:tab w:val="right" w:leader="dot" w:pos="9622"/>
        </w:tabs>
        <w:rPr>
          <w:rFonts w:asciiTheme="minorHAnsi" w:eastAsiaTheme="minorEastAsia" w:hAnsiTheme="minorHAnsi" w:cstheme="minorBidi"/>
          <w:noProof/>
          <w:szCs w:val="22"/>
          <w:lang w:val="en-GB" w:eastAsia="en-GB"/>
        </w:rPr>
      </w:pPr>
      <w:hyperlink w:anchor="_Toc319944315" w:history="1">
        <w:r w:rsidR="00586BCF" w:rsidRPr="00D742DC">
          <w:rPr>
            <w:rStyle w:val="Hyperlink"/>
            <w:noProof/>
            <w:lang w:val="fr-CH"/>
          </w:rPr>
          <w:t>5.3</w:t>
        </w:r>
        <w:r w:rsidR="00586BCF">
          <w:rPr>
            <w:rFonts w:asciiTheme="minorHAnsi" w:eastAsiaTheme="minorEastAsia" w:hAnsiTheme="minorHAnsi" w:cstheme="minorBidi"/>
            <w:noProof/>
            <w:szCs w:val="22"/>
            <w:lang w:val="en-GB" w:eastAsia="en-GB"/>
          </w:rPr>
          <w:tab/>
        </w:r>
        <w:r w:rsidR="00586BCF" w:rsidRPr="00D742DC">
          <w:rPr>
            <w:rStyle w:val="Hyperlink"/>
            <w:noProof/>
          </w:rPr>
          <w:t>Secretariat role</w:t>
        </w:r>
        <w:r w:rsidR="00586BCF">
          <w:rPr>
            <w:noProof/>
            <w:webHidden/>
          </w:rPr>
          <w:tab/>
        </w:r>
        <w:r>
          <w:rPr>
            <w:noProof/>
            <w:webHidden/>
          </w:rPr>
          <w:fldChar w:fldCharType="begin"/>
        </w:r>
        <w:r w:rsidR="00586BCF">
          <w:rPr>
            <w:noProof/>
            <w:webHidden/>
          </w:rPr>
          <w:instrText xml:space="preserve"> PAGEREF _Toc319944315 \h </w:instrText>
        </w:r>
        <w:r>
          <w:rPr>
            <w:noProof/>
            <w:webHidden/>
          </w:rPr>
        </w:r>
        <w:r>
          <w:rPr>
            <w:noProof/>
            <w:webHidden/>
          </w:rPr>
          <w:fldChar w:fldCharType="separate"/>
        </w:r>
        <w:r w:rsidR="00586BCF">
          <w:rPr>
            <w:noProof/>
            <w:webHidden/>
          </w:rPr>
          <w:t>5</w:t>
        </w:r>
        <w:r>
          <w:rPr>
            <w:noProof/>
            <w:webHidden/>
          </w:rPr>
          <w:fldChar w:fldCharType="end"/>
        </w:r>
      </w:hyperlink>
    </w:p>
    <w:p w:rsidR="00586BCF" w:rsidRDefault="00181628">
      <w:pPr>
        <w:pStyle w:val="TOC2"/>
        <w:tabs>
          <w:tab w:val="left" w:pos="880"/>
          <w:tab w:val="right" w:leader="dot" w:pos="9622"/>
        </w:tabs>
        <w:rPr>
          <w:rFonts w:asciiTheme="minorHAnsi" w:eastAsiaTheme="minorEastAsia" w:hAnsiTheme="minorHAnsi" w:cstheme="minorBidi"/>
          <w:noProof/>
          <w:szCs w:val="22"/>
          <w:lang w:val="en-GB" w:eastAsia="en-GB"/>
        </w:rPr>
      </w:pPr>
      <w:hyperlink w:anchor="_Toc319944316" w:history="1">
        <w:r w:rsidR="00586BCF" w:rsidRPr="00D742DC">
          <w:rPr>
            <w:rStyle w:val="Hyperlink"/>
            <w:noProof/>
          </w:rPr>
          <w:t>5.4</w:t>
        </w:r>
        <w:r w:rsidR="00586BCF">
          <w:rPr>
            <w:rFonts w:asciiTheme="minorHAnsi" w:eastAsiaTheme="minorEastAsia" w:hAnsiTheme="minorHAnsi" w:cstheme="minorBidi"/>
            <w:noProof/>
            <w:szCs w:val="22"/>
            <w:lang w:val="en-GB" w:eastAsia="en-GB"/>
          </w:rPr>
          <w:tab/>
        </w:r>
        <w:r w:rsidR="00586BCF" w:rsidRPr="00D742DC">
          <w:rPr>
            <w:rStyle w:val="Hyperlink"/>
            <w:noProof/>
          </w:rPr>
          <w:t>Agenda</w:t>
        </w:r>
        <w:r w:rsidR="00586BCF">
          <w:rPr>
            <w:noProof/>
            <w:webHidden/>
          </w:rPr>
          <w:tab/>
        </w:r>
        <w:r>
          <w:rPr>
            <w:noProof/>
            <w:webHidden/>
          </w:rPr>
          <w:fldChar w:fldCharType="begin"/>
        </w:r>
        <w:r w:rsidR="00586BCF">
          <w:rPr>
            <w:noProof/>
            <w:webHidden/>
          </w:rPr>
          <w:instrText xml:space="preserve"> PAGEREF _Toc319944316 \h </w:instrText>
        </w:r>
        <w:r>
          <w:rPr>
            <w:noProof/>
            <w:webHidden/>
          </w:rPr>
        </w:r>
        <w:r>
          <w:rPr>
            <w:noProof/>
            <w:webHidden/>
          </w:rPr>
          <w:fldChar w:fldCharType="separate"/>
        </w:r>
        <w:r w:rsidR="00586BCF">
          <w:rPr>
            <w:noProof/>
            <w:webHidden/>
          </w:rPr>
          <w:t>6</w:t>
        </w:r>
        <w:r>
          <w:rPr>
            <w:noProof/>
            <w:webHidden/>
          </w:rPr>
          <w:fldChar w:fldCharType="end"/>
        </w:r>
      </w:hyperlink>
    </w:p>
    <w:p w:rsidR="00586BCF" w:rsidRDefault="00181628">
      <w:pPr>
        <w:pStyle w:val="TOC1"/>
        <w:tabs>
          <w:tab w:val="left" w:pos="440"/>
          <w:tab w:val="right" w:leader="dot" w:pos="9622"/>
        </w:tabs>
        <w:rPr>
          <w:rFonts w:asciiTheme="minorHAnsi" w:eastAsiaTheme="minorEastAsia" w:hAnsiTheme="minorHAnsi" w:cstheme="minorBidi"/>
          <w:noProof/>
          <w:szCs w:val="22"/>
          <w:lang w:val="en-GB" w:eastAsia="en-GB"/>
        </w:rPr>
      </w:pPr>
      <w:hyperlink w:anchor="_Toc319944319" w:history="1">
        <w:r w:rsidR="00586BCF" w:rsidRPr="00D742DC">
          <w:rPr>
            <w:rStyle w:val="Hyperlink"/>
            <w:b/>
            <w:noProof/>
          </w:rPr>
          <w:t>6.</w:t>
        </w:r>
        <w:r w:rsidR="00586BCF">
          <w:rPr>
            <w:rFonts w:asciiTheme="minorHAnsi" w:eastAsiaTheme="minorEastAsia" w:hAnsiTheme="minorHAnsi" w:cstheme="minorBidi"/>
            <w:noProof/>
            <w:szCs w:val="22"/>
            <w:lang w:val="en-GB" w:eastAsia="en-GB"/>
          </w:rPr>
          <w:tab/>
        </w:r>
        <w:r w:rsidR="00586BCF" w:rsidRPr="00D742DC">
          <w:rPr>
            <w:rStyle w:val="Hyperlink"/>
            <w:noProof/>
          </w:rPr>
          <w:t>Incorporating Consultation Feedback into the Revision of P&amp;R</w:t>
        </w:r>
        <w:r w:rsidR="00586BCF">
          <w:rPr>
            <w:noProof/>
            <w:webHidden/>
          </w:rPr>
          <w:tab/>
        </w:r>
        <w:r>
          <w:rPr>
            <w:noProof/>
            <w:webHidden/>
          </w:rPr>
          <w:fldChar w:fldCharType="begin"/>
        </w:r>
        <w:r w:rsidR="00586BCF">
          <w:rPr>
            <w:noProof/>
            <w:webHidden/>
          </w:rPr>
          <w:instrText xml:space="preserve"> PAGEREF _Toc319944319 \h </w:instrText>
        </w:r>
        <w:r>
          <w:rPr>
            <w:noProof/>
            <w:webHidden/>
          </w:rPr>
        </w:r>
        <w:r>
          <w:rPr>
            <w:noProof/>
            <w:webHidden/>
          </w:rPr>
          <w:fldChar w:fldCharType="separate"/>
        </w:r>
        <w:r w:rsidR="00586BCF">
          <w:rPr>
            <w:noProof/>
            <w:webHidden/>
          </w:rPr>
          <w:t>6</w:t>
        </w:r>
        <w:r>
          <w:rPr>
            <w:noProof/>
            <w:webHidden/>
          </w:rPr>
          <w:fldChar w:fldCharType="end"/>
        </w:r>
      </w:hyperlink>
    </w:p>
    <w:p w:rsidR="00586BCF" w:rsidRDefault="00181628">
      <w:pPr>
        <w:pStyle w:val="TOC1"/>
        <w:tabs>
          <w:tab w:val="left" w:pos="440"/>
          <w:tab w:val="right" w:leader="dot" w:pos="9622"/>
        </w:tabs>
        <w:rPr>
          <w:rFonts w:asciiTheme="minorHAnsi" w:eastAsiaTheme="minorEastAsia" w:hAnsiTheme="minorHAnsi" w:cstheme="minorBidi"/>
          <w:noProof/>
          <w:szCs w:val="22"/>
          <w:lang w:val="en-GB" w:eastAsia="en-GB"/>
        </w:rPr>
      </w:pPr>
      <w:hyperlink w:anchor="_Toc319944320" w:history="1">
        <w:r w:rsidR="00586BCF" w:rsidRPr="00D742DC">
          <w:rPr>
            <w:rStyle w:val="Hyperlink"/>
            <w:b/>
            <w:noProof/>
          </w:rPr>
          <w:t>7.</w:t>
        </w:r>
        <w:r w:rsidR="00586BCF">
          <w:rPr>
            <w:rFonts w:asciiTheme="minorHAnsi" w:eastAsiaTheme="minorEastAsia" w:hAnsiTheme="minorHAnsi" w:cstheme="minorBidi"/>
            <w:noProof/>
            <w:szCs w:val="22"/>
            <w:lang w:val="en-GB" w:eastAsia="en-GB"/>
          </w:rPr>
          <w:tab/>
        </w:r>
        <w:r w:rsidR="00586BCF" w:rsidRPr="00D742DC">
          <w:rPr>
            <w:rStyle w:val="Hyperlink"/>
            <w:noProof/>
          </w:rPr>
          <w:t>Consultation on the Draft Principles and Rules Document</w:t>
        </w:r>
        <w:r w:rsidR="00586BCF">
          <w:rPr>
            <w:noProof/>
            <w:webHidden/>
          </w:rPr>
          <w:tab/>
        </w:r>
        <w:r>
          <w:rPr>
            <w:noProof/>
            <w:webHidden/>
          </w:rPr>
          <w:fldChar w:fldCharType="begin"/>
        </w:r>
        <w:r w:rsidR="00586BCF">
          <w:rPr>
            <w:noProof/>
            <w:webHidden/>
          </w:rPr>
          <w:instrText xml:space="preserve"> PAGEREF _Toc319944320 \h </w:instrText>
        </w:r>
        <w:r>
          <w:rPr>
            <w:noProof/>
            <w:webHidden/>
          </w:rPr>
        </w:r>
        <w:r>
          <w:rPr>
            <w:noProof/>
            <w:webHidden/>
          </w:rPr>
          <w:fldChar w:fldCharType="separate"/>
        </w:r>
        <w:r w:rsidR="00586BCF">
          <w:rPr>
            <w:noProof/>
            <w:webHidden/>
          </w:rPr>
          <w:t>7</w:t>
        </w:r>
        <w:r>
          <w:rPr>
            <w:noProof/>
            <w:webHidden/>
          </w:rPr>
          <w:fldChar w:fldCharType="end"/>
        </w:r>
      </w:hyperlink>
    </w:p>
    <w:p w:rsidR="00586BCF" w:rsidRDefault="00181628">
      <w:pPr>
        <w:pStyle w:val="TOC1"/>
        <w:tabs>
          <w:tab w:val="left" w:pos="440"/>
          <w:tab w:val="right" w:leader="dot" w:pos="9622"/>
        </w:tabs>
        <w:rPr>
          <w:rFonts w:asciiTheme="minorHAnsi" w:eastAsiaTheme="minorEastAsia" w:hAnsiTheme="minorHAnsi" w:cstheme="minorBidi"/>
          <w:noProof/>
          <w:szCs w:val="22"/>
          <w:lang w:val="en-GB" w:eastAsia="en-GB"/>
        </w:rPr>
      </w:pPr>
      <w:hyperlink w:anchor="_Toc319944321" w:history="1">
        <w:r w:rsidR="00586BCF" w:rsidRPr="00D742DC">
          <w:rPr>
            <w:rStyle w:val="Hyperlink"/>
            <w:b/>
            <w:noProof/>
          </w:rPr>
          <w:t>8.</w:t>
        </w:r>
        <w:r w:rsidR="00586BCF">
          <w:rPr>
            <w:rFonts w:asciiTheme="minorHAnsi" w:eastAsiaTheme="minorEastAsia" w:hAnsiTheme="minorHAnsi" w:cstheme="minorBidi"/>
            <w:noProof/>
            <w:szCs w:val="22"/>
            <w:lang w:val="en-GB" w:eastAsia="en-GB"/>
          </w:rPr>
          <w:tab/>
        </w:r>
        <w:r w:rsidR="00586BCF" w:rsidRPr="00D742DC">
          <w:rPr>
            <w:rStyle w:val="Hyperlink"/>
            <w:noProof/>
          </w:rPr>
          <w:t>Project Communication</w:t>
        </w:r>
        <w:r w:rsidR="00586BCF">
          <w:rPr>
            <w:noProof/>
            <w:webHidden/>
          </w:rPr>
          <w:tab/>
        </w:r>
        <w:r>
          <w:rPr>
            <w:noProof/>
            <w:webHidden/>
          </w:rPr>
          <w:fldChar w:fldCharType="begin"/>
        </w:r>
        <w:r w:rsidR="00586BCF">
          <w:rPr>
            <w:noProof/>
            <w:webHidden/>
          </w:rPr>
          <w:instrText xml:space="preserve"> PAGEREF _Toc319944321 \h </w:instrText>
        </w:r>
        <w:r>
          <w:rPr>
            <w:noProof/>
            <w:webHidden/>
          </w:rPr>
        </w:r>
        <w:r>
          <w:rPr>
            <w:noProof/>
            <w:webHidden/>
          </w:rPr>
          <w:fldChar w:fldCharType="separate"/>
        </w:r>
        <w:r w:rsidR="00586BCF">
          <w:rPr>
            <w:noProof/>
            <w:webHidden/>
          </w:rPr>
          <w:t>8</w:t>
        </w:r>
        <w:r>
          <w:rPr>
            <w:noProof/>
            <w:webHidden/>
          </w:rPr>
          <w:fldChar w:fldCharType="end"/>
        </w:r>
      </w:hyperlink>
    </w:p>
    <w:p w:rsidR="00586BCF" w:rsidRDefault="00181628">
      <w:pPr>
        <w:pStyle w:val="TOC1"/>
        <w:tabs>
          <w:tab w:val="left" w:pos="440"/>
          <w:tab w:val="right" w:leader="dot" w:pos="9622"/>
        </w:tabs>
        <w:rPr>
          <w:rFonts w:asciiTheme="minorHAnsi" w:eastAsiaTheme="minorEastAsia" w:hAnsiTheme="minorHAnsi" w:cstheme="minorBidi"/>
          <w:noProof/>
          <w:szCs w:val="22"/>
          <w:lang w:val="en-GB" w:eastAsia="en-GB"/>
        </w:rPr>
      </w:pPr>
      <w:hyperlink w:anchor="_Toc319944322" w:history="1">
        <w:r w:rsidR="00586BCF" w:rsidRPr="00D742DC">
          <w:rPr>
            <w:rStyle w:val="Hyperlink"/>
            <w:b/>
            <w:noProof/>
          </w:rPr>
          <w:t>9.</w:t>
        </w:r>
        <w:r w:rsidR="00586BCF">
          <w:rPr>
            <w:rFonts w:asciiTheme="minorHAnsi" w:eastAsiaTheme="minorEastAsia" w:hAnsiTheme="minorHAnsi" w:cstheme="minorBidi"/>
            <w:noProof/>
            <w:szCs w:val="22"/>
            <w:lang w:val="en-GB" w:eastAsia="en-GB"/>
          </w:rPr>
          <w:tab/>
        </w:r>
        <w:r w:rsidR="00586BCF" w:rsidRPr="00D742DC">
          <w:rPr>
            <w:rStyle w:val="Hyperlink"/>
            <w:noProof/>
          </w:rPr>
          <w:t>Summary Project Timeline</w:t>
        </w:r>
        <w:r w:rsidR="00586BCF">
          <w:rPr>
            <w:noProof/>
            <w:webHidden/>
          </w:rPr>
          <w:tab/>
        </w:r>
        <w:r>
          <w:rPr>
            <w:noProof/>
            <w:webHidden/>
          </w:rPr>
          <w:fldChar w:fldCharType="begin"/>
        </w:r>
        <w:r w:rsidR="00586BCF">
          <w:rPr>
            <w:noProof/>
            <w:webHidden/>
          </w:rPr>
          <w:instrText xml:space="preserve"> PAGEREF _Toc319944322 \h </w:instrText>
        </w:r>
        <w:r>
          <w:rPr>
            <w:noProof/>
            <w:webHidden/>
          </w:rPr>
        </w:r>
        <w:r>
          <w:rPr>
            <w:noProof/>
            <w:webHidden/>
          </w:rPr>
          <w:fldChar w:fldCharType="separate"/>
        </w:r>
        <w:r w:rsidR="00586BCF">
          <w:rPr>
            <w:noProof/>
            <w:webHidden/>
          </w:rPr>
          <w:t>9</w:t>
        </w:r>
        <w:r>
          <w:rPr>
            <w:noProof/>
            <w:webHidden/>
          </w:rPr>
          <w:fldChar w:fldCharType="end"/>
        </w:r>
      </w:hyperlink>
    </w:p>
    <w:p w:rsidR="00586BCF" w:rsidRDefault="00181628">
      <w:pPr>
        <w:pStyle w:val="TOC1"/>
        <w:tabs>
          <w:tab w:val="left" w:pos="660"/>
          <w:tab w:val="right" w:leader="dot" w:pos="9622"/>
        </w:tabs>
        <w:rPr>
          <w:rFonts w:asciiTheme="minorHAnsi" w:eastAsiaTheme="minorEastAsia" w:hAnsiTheme="minorHAnsi" w:cstheme="minorBidi"/>
          <w:noProof/>
          <w:szCs w:val="22"/>
          <w:lang w:val="en-GB" w:eastAsia="en-GB"/>
        </w:rPr>
      </w:pPr>
      <w:hyperlink w:anchor="_Toc319944323" w:history="1">
        <w:r w:rsidR="00586BCF" w:rsidRPr="00D742DC">
          <w:rPr>
            <w:rStyle w:val="Hyperlink"/>
            <w:b/>
            <w:noProof/>
          </w:rPr>
          <w:t>10.</w:t>
        </w:r>
        <w:r w:rsidR="00586BCF">
          <w:rPr>
            <w:rFonts w:asciiTheme="minorHAnsi" w:eastAsiaTheme="minorEastAsia" w:hAnsiTheme="minorHAnsi" w:cstheme="minorBidi"/>
            <w:noProof/>
            <w:szCs w:val="22"/>
            <w:lang w:val="en-GB" w:eastAsia="en-GB"/>
          </w:rPr>
          <w:tab/>
        </w:r>
        <w:r w:rsidR="00586BCF" w:rsidRPr="00D742DC">
          <w:rPr>
            <w:rStyle w:val="Hyperlink"/>
            <w:noProof/>
          </w:rPr>
          <w:t>Project Budget</w:t>
        </w:r>
        <w:r w:rsidR="00586BCF">
          <w:rPr>
            <w:noProof/>
            <w:webHidden/>
          </w:rPr>
          <w:tab/>
        </w:r>
        <w:r>
          <w:rPr>
            <w:noProof/>
            <w:webHidden/>
          </w:rPr>
          <w:fldChar w:fldCharType="begin"/>
        </w:r>
        <w:r w:rsidR="00586BCF">
          <w:rPr>
            <w:noProof/>
            <w:webHidden/>
          </w:rPr>
          <w:instrText xml:space="preserve"> PAGEREF _Toc319944323 \h </w:instrText>
        </w:r>
        <w:r>
          <w:rPr>
            <w:noProof/>
            <w:webHidden/>
          </w:rPr>
        </w:r>
        <w:r>
          <w:rPr>
            <w:noProof/>
            <w:webHidden/>
          </w:rPr>
          <w:fldChar w:fldCharType="separate"/>
        </w:r>
        <w:r w:rsidR="00586BCF">
          <w:rPr>
            <w:noProof/>
            <w:webHidden/>
          </w:rPr>
          <w:t>9</w:t>
        </w:r>
        <w:r>
          <w:rPr>
            <w:noProof/>
            <w:webHidden/>
          </w:rPr>
          <w:fldChar w:fldCharType="end"/>
        </w:r>
      </w:hyperlink>
    </w:p>
    <w:p w:rsidR="00D265E2" w:rsidRDefault="00181628">
      <w:pPr>
        <w:pStyle w:val="Heading1"/>
        <w:numPr>
          <w:ilvl w:val="0"/>
          <w:numId w:val="15"/>
        </w:numPr>
        <w:jc w:val="both"/>
      </w:pPr>
      <w:r>
        <w:fldChar w:fldCharType="end"/>
      </w:r>
      <w:bookmarkStart w:id="0" w:name="_Toc319944265"/>
      <w:bookmarkStart w:id="1" w:name="_Toc319944305"/>
      <w:bookmarkStart w:id="2" w:name="_Toc319944266"/>
      <w:bookmarkStart w:id="3" w:name="_Toc319944306"/>
      <w:bookmarkEnd w:id="0"/>
      <w:bookmarkEnd w:id="1"/>
      <w:bookmarkEnd w:id="2"/>
      <w:bookmarkEnd w:id="3"/>
      <w:r w:rsidR="004E52CF">
        <w:br w:type="page"/>
      </w:r>
      <w:bookmarkStart w:id="4" w:name="_Toc319944307"/>
      <w:r w:rsidR="00960E16">
        <w:lastRenderedPageBreak/>
        <w:t>Background</w:t>
      </w:r>
      <w:bookmarkEnd w:id="4"/>
    </w:p>
    <w:p w:rsidR="00960E16" w:rsidRDefault="00960E16" w:rsidP="00616E36">
      <w:pPr>
        <w:autoSpaceDE w:val="0"/>
        <w:autoSpaceDN w:val="0"/>
        <w:adjustRightInd w:val="0"/>
        <w:jc w:val="both"/>
        <w:rPr>
          <w:rFonts w:cs="Arial"/>
          <w:sz w:val="20"/>
          <w:szCs w:val="20"/>
        </w:rPr>
      </w:pPr>
      <w:r w:rsidRPr="001C20A8">
        <w:rPr>
          <w:rFonts w:cs="Arial"/>
          <w:sz w:val="20"/>
          <w:szCs w:val="20"/>
        </w:rPr>
        <w:t>The Principles and Rules for</w:t>
      </w:r>
      <w:r>
        <w:rPr>
          <w:rFonts w:cs="Arial"/>
          <w:sz w:val="20"/>
          <w:szCs w:val="20"/>
        </w:rPr>
        <w:t xml:space="preserve"> Red Cross and Red Crescent</w:t>
      </w:r>
      <w:r w:rsidRPr="001C20A8">
        <w:rPr>
          <w:rFonts w:cs="Arial"/>
          <w:sz w:val="20"/>
          <w:szCs w:val="20"/>
        </w:rPr>
        <w:t xml:space="preserve"> Disaster Relief (P&amp;R) were</w:t>
      </w:r>
      <w:r>
        <w:rPr>
          <w:rFonts w:cs="Arial"/>
          <w:sz w:val="20"/>
          <w:szCs w:val="20"/>
        </w:rPr>
        <w:t xml:space="preserve"> first developed in 1954 for the League Board of Governors. They were</w:t>
      </w:r>
      <w:r w:rsidRPr="001C20A8">
        <w:rPr>
          <w:rFonts w:cs="Arial"/>
          <w:sz w:val="20"/>
          <w:szCs w:val="20"/>
        </w:rPr>
        <w:t xml:space="preserve"> adopted by the International Conference in 1969</w:t>
      </w:r>
      <w:r>
        <w:rPr>
          <w:rFonts w:cs="Arial"/>
          <w:sz w:val="20"/>
          <w:szCs w:val="20"/>
        </w:rPr>
        <w:t xml:space="preserve"> and later amended in 1973, 1977, 1981 and 1995. The current version, from 1995, is the result of a thorough revision of the 1969 version and of subsequent amendments. </w:t>
      </w:r>
    </w:p>
    <w:p w:rsidR="00960E16" w:rsidRDefault="00960E16" w:rsidP="00616E36">
      <w:pPr>
        <w:jc w:val="both"/>
      </w:pPr>
    </w:p>
    <w:p w:rsidR="00772719" w:rsidRDefault="00960E16" w:rsidP="00616E36">
      <w:pPr>
        <w:jc w:val="both"/>
        <w:rPr>
          <w:rFonts w:cs="Arial"/>
          <w:sz w:val="20"/>
          <w:szCs w:val="20"/>
        </w:rPr>
      </w:pPr>
      <w:r w:rsidRPr="0086445A">
        <w:rPr>
          <w:rFonts w:cs="Arial"/>
          <w:sz w:val="20"/>
          <w:szCs w:val="20"/>
        </w:rPr>
        <w:t>The Principles and Rules is an important document regulating procedures and the roles and responsibilities of the Components of the Movement in disaster response.</w:t>
      </w:r>
      <w:r>
        <w:rPr>
          <w:rFonts w:cs="Arial"/>
          <w:sz w:val="20"/>
          <w:szCs w:val="20"/>
        </w:rPr>
        <w:t xml:space="preserve"> </w:t>
      </w:r>
      <w:r w:rsidRPr="00EC3BFD">
        <w:rPr>
          <w:rFonts w:cs="Arial"/>
          <w:sz w:val="20"/>
          <w:szCs w:val="20"/>
        </w:rPr>
        <w:t>It establishes procedures for preparation for</w:t>
      </w:r>
      <w:r>
        <w:rPr>
          <w:rFonts w:cs="Arial"/>
          <w:sz w:val="20"/>
          <w:szCs w:val="20"/>
        </w:rPr>
        <w:t>,</w:t>
      </w:r>
      <w:r w:rsidRPr="00EC3BFD">
        <w:rPr>
          <w:rFonts w:cs="Arial"/>
          <w:sz w:val="20"/>
          <w:szCs w:val="20"/>
        </w:rPr>
        <w:t xml:space="preserve"> and cooperation in</w:t>
      </w:r>
      <w:r>
        <w:rPr>
          <w:rFonts w:cs="Arial"/>
          <w:sz w:val="20"/>
          <w:szCs w:val="20"/>
        </w:rPr>
        <w:t>,</w:t>
      </w:r>
      <w:r w:rsidRPr="00EC3BFD">
        <w:rPr>
          <w:rFonts w:cs="Arial"/>
          <w:sz w:val="20"/>
          <w:szCs w:val="20"/>
        </w:rPr>
        <w:t xml:space="preserve"> international disaster relief operations.</w:t>
      </w:r>
      <w:r w:rsidRPr="0086445A">
        <w:rPr>
          <w:rFonts w:cs="Arial"/>
          <w:sz w:val="20"/>
          <w:szCs w:val="20"/>
        </w:rPr>
        <w:t xml:space="preserve"> The Statutes of the Movement as well as the Constitution of the Federation </w:t>
      </w:r>
      <w:r>
        <w:rPr>
          <w:rFonts w:cs="Arial"/>
          <w:sz w:val="20"/>
          <w:szCs w:val="20"/>
        </w:rPr>
        <w:t>make reference to the P&amp;R and</w:t>
      </w:r>
      <w:r w:rsidRPr="0086445A">
        <w:rPr>
          <w:rFonts w:cs="Arial"/>
          <w:sz w:val="20"/>
          <w:szCs w:val="20"/>
        </w:rPr>
        <w:t xml:space="preserve"> stipulate that disaster response has to be conducted in line with the Principles and Rules.</w:t>
      </w:r>
    </w:p>
    <w:p w:rsidR="00960E16" w:rsidRPr="0086445A" w:rsidRDefault="00772719" w:rsidP="00616E36">
      <w:pPr>
        <w:jc w:val="both"/>
        <w:rPr>
          <w:rFonts w:cs="Arial"/>
          <w:sz w:val="20"/>
          <w:szCs w:val="20"/>
        </w:rPr>
      </w:pPr>
      <w:r>
        <w:rPr>
          <w:rFonts w:cs="Arial"/>
          <w:sz w:val="20"/>
          <w:szCs w:val="20"/>
        </w:rPr>
        <w:t>In 2007, the Governing Board took note of the outcomes and recommendations from the Learning from the Tsunami process and end decided to review and revise the Principles and Rules (decision 07/02/16). During 2008-2009 a review and consultation process explored the revision of P&amp;R and produced a draft to the Governing Board in September 2009. The Governing Board decided not to proceed with presenting the revised P&amp;R to the General Assembly and instead requested the Secretary General to continue consultations with National Societies.</w:t>
      </w:r>
      <w:r w:rsidR="00960E16" w:rsidRPr="0086445A">
        <w:rPr>
          <w:rFonts w:cs="Arial"/>
          <w:sz w:val="20"/>
          <w:szCs w:val="20"/>
        </w:rPr>
        <w:t xml:space="preserve"> </w:t>
      </w:r>
    </w:p>
    <w:p w:rsidR="00960E16" w:rsidRDefault="00960E16" w:rsidP="00616E36">
      <w:pPr>
        <w:jc w:val="both"/>
      </w:pPr>
    </w:p>
    <w:p w:rsidR="00960E16" w:rsidRPr="00772196" w:rsidRDefault="00B17F42" w:rsidP="00616E36">
      <w:pPr>
        <w:pStyle w:val="Heading1"/>
        <w:numPr>
          <w:ilvl w:val="0"/>
          <w:numId w:val="15"/>
        </w:numPr>
        <w:jc w:val="both"/>
      </w:pPr>
      <w:bookmarkStart w:id="5" w:name="_Toc319944308"/>
      <w:r>
        <w:t>Purpose of the</w:t>
      </w:r>
      <w:r w:rsidR="00960E16" w:rsidRPr="00772196">
        <w:t xml:space="preserve"> Consultation</w:t>
      </w:r>
      <w:r w:rsidR="004E52CF">
        <w:t xml:space="preserve"> and Revision</w:t>
      </w:r>
      <w:r w:rsidR="00960E16" w:rsidRPr="00772196">
        <w:t xml:space="preserve"> Pro</w:t>
      </w:r>
      <w:r w:rsidR="004E52CF">
        <w:t>ject</w:t>
      </w:r>
      <w:bookmarkEnd w:id="5"/>
      <w:r w:rsidR="00960E16" w:rsidRPr="00772196">
        <w:t xml:space="preserve"> </w:t>
      </w:r>
    </w:p>
    <w:p w:rsidR="00960E16" w:rsidRDefault="00960E16" w:rsidP="00616E36">
      <w:pPr>
        <w:jc w:val="both"/>
        <w:rPr>
          <w:rFonts w:cs="Arial"/>
          <w:sz w:val="20"/>
          <w:szCs w:val="20"/>
        </w:rPr>
      </w:pPr>
      <w:r>
        <w:rPr>
          <w:rFonts w:cs="Arial"/>
          <w:sz w:val="20"/>
          <w:szCs w:val="20"/>
        </w:rPr>
        <w:t>The purpose of this proposed</w:t>
      </w:r>
      <w:r w:rsidRPr="004A0A63">
        <w:rPr>
          <w:rFonts w:cs="Arial"/>
          <w:sz w:val="20"/>
          <w:szCs w:val="20"/>
        </w:rPr>
        <w:t xml:space="preserve"> consultation process is to engage the Movement components (National Societies, ICRC and the Intern</w:t>
      </w:r>
      <w:r>
        <w:rPr>
          <w:rFonts w:cs="Arial"/>
          <w:sz w:val="20"/>
          <w:szCs w:val="20"/>
        </w:rPr>
        <w:t>ational Federation) into a constructive</w:t>
      </w:r>
      <w:r w:rsidRPr="004A0A63">
        <w:rPr>
          <w:rFonts w:cs="Arial"/>
          <w:sz w:val="20"/>
          <w:szCs w:val="20"/>
        </w:rPr>
        <w:t xml:space="preserve"> exchange</w:t>
      </w:r>
      <w:r>
        <w:rPr>
          <w:rFonts w:cs="Arial"/>
          <w:sz w:val="20"/>
          <w:szCs w:val="20"/>
        </w:rPr>
        <w:t xml:space="preserve"> on the </w:t>
      </w:r>
      <w:r w:rsidRPr="004A0A63">
        <w:rPr>
          <w:rFonts w:cs="Arial"/>
          <w:sz w:val="20"/>
          <w:szCs w:val="20"/>
        </w:rPr>
        <w:t>Principles and Rules for Red Cross and Re</w:t>
      </w:r>
      <w:r>
        <w:rPr>
          <w:rFonts w:cs="Arial"/>
          <w:sz w:val="20"/>
          <w:szCs w:val="20"/>
        </w:rPr>
        <w:t>d Crescent Disaster Relief</w:t>
      </w:r>
      <w:r w:rsidRPr="004A0A63">
        <w:rPr>
          <w:rFonts w:cs="Arial"/>
          <w:sz w:val="20"/>
          <w:szCs w:val="20"/>
        </w:rPr>
        <w:t xml:space="preserve">, resulting in a </w:t>
      </w:r>
      <w:r>
        <w:rPr>
          <w:rFonts w:cs="Arial"/>
          <w:sz w:val="20"/>
          <w:szCs w:val="20"/>
        </w:rPr>
        <w:t xml:space="preserve">relevant </w:t>
      </w:r>
      <w:r w:rsidRPr="004A0A63">
        <w:rPr>
          <w:rFonts w:cs="Arial"/>
          <w:sz w:val="20"/>
          <w:szCs w:val="20"/>
        </w:rPr>
        <w:t>revised version</w:t>
      </w:r>
      <w:r>
        <w:rPr>
          <w:rFonts w:cs="Arial"/>
          <w:sz w:val="20"/>
          <w:szCs w:val="20"/>
        </w:rPr>
        <w:t xml:space="preserve"> of the P&amp;R</w:t>
      </w:r>
      <w:r w:rsidRPr="004A0A63">
        <w:rPr>
          <w:rFonts w:cs="Arial"/>
          <w:sz w:val="20"/>
          <w:szCs w:val="20"/>
        </w:rPr>
        <w:t xml:space="preserve"> approved by the Governing Board </w:t>
      </w:r>
      <w:r>
        <w:rPr>
          <w:rFonts w:cs="Arial"/>
          <w:sz w:val="20"/>
          <w:szCs w:val="20"/>
        </w:rPr>
        <w:t>in 2013</w:t>
      </w:r>
      <w:r w:rsidRPr="004A0A63">
        <w:rPr>
          <w:rFonts w:cs="Arial"/>
          <w:sz w:val="20"/>
          <w:szCs w:val="20"/>
        </w:rPr>
        <w:t>.</w:t>
      </w:r>
    </w:p>
    <w:p w:rsidR="00960E16" w:rsidRDefault="00960E16" w:rsidP="00616E36">
      <w:pPr>
        <w:jc w:val="both"/>
        <w:rPr>
          <w:rFonts w:cs="Arial"/>
          <w:sz w:val="20"/>
          <w:szCs w:val="20"/>
        </w:rPr>
      </w:pPr>
    </w:p>
    <w:p w:rsidR="00960E16" w:rsidRDefault="00960E16" w:rsidP="00616E36">
      <w:pPr>
        <w:jc w:val="both"/>
        <w:rPr>
          <w:rFonts w:cs="Arial"/>
          <w:sz w:val="20"/>
          <w:szCs w:val="20"/>
        </w:rPr>
      </w:pPr>
      <w:r>
        <w:rPr>
          <w:rFonts w:cs="Arial"/>
          <w:sz w:val="20"/>
          <w:szCs w:val="20"/>
        </w:rPr>
        <w:t>This consultation process will build upon the previous revision process (2009) and its useful outputs (the different analysis undertaken and the revised P&amp;R drafted). The consultation and revision will focus on key areas identified by the Governing Board as requiring further clarity and consultation as well as contextual changes and developments which influence the P&amp;R. Overall, the consultation process will ensure that a broad range of National Societies are consulted and their views taken into account in the revised P&amp;R.</w:t>
      </w:r>
    </w:p>
    <w:p w:rsidR="00960E16" w:rsidRDefault="00960E16" w:rsidP="00616E36">
      <w:pPr>
        <w:jc w:val="both"/>
        <w:rPr>
          <w:rFonts w:cs="Arial"/>
          <w:sz w:val="20"/>
          <w:szCs w:val="20"/>
        </w:rPr>
      </w:pPr>
      <w:r>
        <w:rPr>
          <w:rFonts w:cs="Arial"/>
          <w:sz w:val="20"/>
          <w:szCs w:val="20"/>
        </w:rPr>
        <w:t xml:space="preserve">   </w:t>
      </w:r>
    </w:p>
    <w:p w:rsidR="00960E16" w:rsidRPr="006842CB" w:rsidRDefault="00960E16" w:rsidP="00EE6CF5">
      <w:pPr>
        <w:pStyle w:val="Heading1"/>
        <w:numPr>
          <w:ilvl w:val="0"/>
          <w:numId w:val="15"/>
        </w:numPr>
        <w:jc w:val="both"/>
      </w:pPr>
      <w:bookmarkStart w:id="6" w:name="_Toc319944309"/>
      <w:r w:rsidRPr="006842CB">
        <w:t>Priority Areas for Consultation and Consultation Modalities</w:t>
      </w:r>
      <w:bookmarkEnd w:id="6"/>
    </w:p>
    <w:p w:rsidR="00D17C67" w:rsidRDefault="00567DAA" w:rsidP="00616E36">
      <w:pPr>
        <w:jc w:val="both"/>
        <w:rPr>
          <w:sz w:val="20"/>
          <w:szCs w:val="20"/>
        </w:rPr>
      </w:pPr>
      <w:r>
        <w:rPr>
          <w:sz w:val="20"/>
          <w:szCs w:val="20"/>
        </w:rPr>
        <w:t>T</w:t>
      </w:r>
      <w:r w:rsidR="00D17C67">
        <w:rPr>
          <w:sz w:val="20"/>
          <w:szCs w:val="20"/>
        </w:rPr>
        <w:t>he consultation process aims to reach a large n</w:t>
      </w:r>
      <w:r>
        <w:rPr>
          <w:sz w:val="20"/>
          <w:szCs w:val="20"/>
        </w:rPr>
        <w:t>umber of National Societies and collect their inputs</w:t>
      </w:r>
      <w:r w:rsidR="00D17C67">
        <w:rPr>
          <w:sz w:val="20"/>
          <w:szCs w:val="20"/>
        </w:rPr>
        <w:t xml:space="preserve"> on</w:t>
      </w:r>
      <w:r>
        <w:rPr>
          <w:sz w:val="20"/>
          <w:szCs w:val="20"/>
        </w:rPr>
        <w:t xml:space="preserve"> priority topics for revision. Since some o</w:t>
      </w:r>
      <w:r w:rsidR="007A676C">
        <w:rPr>
          <w:sz w:val="20"/>
          <w:szCs w:val="20"/>
        </w:rPr>
        <w:t xml:space="preserve">f the priority topics require </w:t>
      </w:r>
      <w:r>
        <w:rPr>
          <w:sz w:val="20"/>
          <w:szCs w:val="20"/>
        </w:rPr>
        <w:t>National Society leadership discussions and others require more technical inputs, two main consultation modalities are required:</w:t>
      </w:r>
    </w:p>
    <w:p w:rsidR="00D17C67" w:rsidRDefault="00D17C67" w:rsidP="00616E36">
      <w:pPr>
        <w:jc w:val="both"/>
        <w:rPr>
          <w:sz w:val="20"/>
          <w:szCs w:val="20"/>
        </w:rPr>
      </w:pPr>
    </w:p>
    <w:p w:rsidR="00D17C67" w:rsidRDefault="00D17C67" w:rsidP="00616E36">
      <w:pPr>
        <w:pStyle w:val="ListParagraph"/>
        <w:numPr>
          <w:ilvl w:val="0"/>
          <w:numId w:val="12"/>
        </w:numPr>
        <w:jc w:val="both"/>
        <w:rPr>
          <w:rFonts w:ascii="Arial" w:hAnsi="Arial" w:cs="Arial"/>
          <w:sz w:val="20"/>
          <w:szCs w:val="20"/>
        </w:rPr>
      </w:pPr>
      <w:r w:rsidRPr="00567DAA">
        <w:rPr>
          <w:rFonts w:ascii="Arial" w:hAnsi="Arial" w:cs="Arial"/>
          <w:sz w:val="20"/>
          <w:szCs w:val="20"/>
        </w:rPr>
        <w:t>National Society consultation meetings organized through the five Zones</w:t>
      </w:r>
      <w:r>
        <w:rPr>
          <w:rFonts w:ascii="Arial" w:hAnsi="Arial" w:cs="Arial"/>
          <w:sz w:val="20"/>
          <w:szCs w:val="20"/>
        </w:rPr>
        <w:t xml:space="preserve">, with a broad representation of National Societies (five zones with approximately 20 NS/ meeting, totalling 100 NS). </w:t>
      </w:r>
    </w:p>
    <w:p w:rsidR="00D17C67" w:rsidRDefault="00D17C67" w:rsidP="00616E36">
      <w:pPr>
        <w:pStyle w:val="ListParagraph"/>
        <w:jc w:val="both"/>
        <w:rPr>
          <w:rFonts w:ascii="Arial" w:hAnsi="Arial" w:cs="Arial"/>
          <w:sz w:val="20"/>
          <w:szCs w:val="20"/>
        </w:rPr>
      </w:pPr>
    </w:p>
    <w:p w:rsidR="00567DAA" w:rsidRDefault="00D17C67" w:rsidP="00616E36">
      <w:pPr>
        <w:pStyle w:val="ListParagraph"/>
        <w:numPr>
          <w:ilvl w:val="0"/>
          <w:numId w:val="12"/>
        </w:numPr>
        <w:jc w:val="both"/>
        <w:rPr>
          <w:rFonts w:ascii="Arial" w:hAnsi="Arial" w:cs="Arial"/>
          <w:sz w:val="20"/>
          <w:szCs w:val="20"/>
        </w:rPr>
      </w:pPr>
      <w:r w:rsidRPr="00567DAA">
        <w:rPr>
          <w:rFonts w:ascii="Arial" w:hAnsi="Arial" w:cs="Arial"/>
          <w:sz w:val="20"/>
          <w:szCs w:val="20"/>
        </w:rPr>
        <w:t>Consultations through current expert groups with National Society participation, such as</w:t>
      </w:r>
      <w:r w:rsidR="00567DAA" w:rsidRPr="00567DAA">
        <w:rPr>
          <w:rFonts w:ascii="Arial" w:hAnsi="Arial" w:cs="Arial"/>
          <w:sz w:val="20"/>
          <w:szCs w:val="20"/>
        </w:rPr>
        <w:t xml:space="preserve"> Disaste</w:t>
      </w:r>
      <w:r w:rsidR="00567DAA">
        <w:rPr>
          <w:rFonts w:ascii="Arial" w:hAnsi="Arial" w:cs="Arial"/>
          <w:sz w:val="20"/>
          <w:szCs w:val="20"/>
        </w:rPr>
        <w:t>r Management Working Group (DMWG) and the Finance Commission.</w:t>
      </w:r>
    </w:p>
    <w:p w:rsidR="00D265E2" w:rsidRDefault="00D265E2">
      <w:pPr>
        <w:pStyle w:val="ListParagraph"/>
        <w:rPr>
          <w:rFonts w:ascii="Arial" w:hAnsi="Arial" w:cs="Arial"/>
          <w:sz w:val="20"/>
          <w:szCs w:val="20"/>
        </w:rPr>
      </w:pPr>
    </w:p>
    <w:p w:rsidR="004A1015" w:rsidRPr="009C2F80" w:rsidRDefault="00285D4B" w:rsidP="00616E36">
      <w:pPr>
        <w:pStyle w:val="ListParagraph"/>
        <w:numPr>
          <w:ilvl w:val="0"/>
          <w:numId w:val="12"/>
        </w:numPr>
        <w:jc w:val="both"/>
        <w:rPr>
          <w:rFonts w:ascii="Arial" w:hAnsi="Arial" w:cs="Arial"/>
          <w:sz w:val="20"/>
          <w:szCs w:val="20"/>
        </w:rPr>
      </w:pPr>
      <w:r w:rsidRPr="009C2F80">
        <w:rPr>
          <w:rFonts w:ascii="Arial" w:hAnsi="Arial" w:cs="Arial"/>
          <w:sz w:val="20"/>
          <w:szCs w:val="20"/>
        </w:rPr>
        <w:t xml:space="preserve">Separate ICRC GVA consultation to be confirmed </w:t>
      </w:r>
    </w:p>
    <w:p w:rsidR="00567DAA" w:rsidRDefault="00567DAA" w:rsidP="00567DAA">
      <w:pPr>
        <w:pStyle w:val="ListParagraph"/>
        <w:ind w:left="360"/>
        <w:jc w:val="both"/>
        <w:rPr>
          <w:rFonts w:ascii="Arial" w:hAnsi="Arial" w:cs="Arial"/>
          <w:sz w:val="20"/>
          <w:szCs w:val="20"/>
        </w:rPr>
      </w:pPr>
    </w:p>
    <w:p w:rsidR="00D17C67" w:rsidRPr="00567DAA" w:rsidRDefault="007A676C" w:rsidP="007A676C">
      <w:pPr>
        <w:pStyle w:val="ListParagraph"/>
        <w:ind w:left="0"/>
        <w:jc w:val="both"/>
        <w:rPr>
          <w:rFonts w:ascii="Arial" w:hAnsi="Arial" w:cs="Arial"/>
          <w:sz w:val="20"/>
          <w:szCs w:val="20"/>
        </w:rPr>
      </w:pPr>
      <w:r>
        <w:rPr>
          <w:rFonts w:ascii="Arial" w:hAnsi="Arial" w:cs="Arial"/>
          <w:sz w:val="20"/>
          <w:szCs w:val="20"/>
        </w:rPr>
        <w:t>The below table (Table</w:t>
      </w:r>
      <w:r w:rsidR="009C2F80">
        <w:rPr>
          <w:rFonts w:ascii="Arial" w:hAnsi="Arial" w:cs="Arial"/>
          <w:sz w:val="20"/>
          <w:szCs w:val="20"/>
        </w:rPr>
        <w:t xml:space="preserve">1 </w:t>
      </w:r>
      <w:r>
        <w:rPr>
          <w:rFonts w:ascii="Arial" w:hAnsi="Arial" w:cs="Arial"/>
          <w:sz w:val="20"/>
          <w:szCs w:val="20"/>
        </w:rPr>
        <w:t>) summarizes the priority topics for consultation</w:t>
      </w:r>
      <w:r w:rsidR="006B2EA9">
        <w:rPr>
          <w:rFonts w:ascii="Arial" w:hAnsi="Arial" w:cs="Arial"/>
          <w:sz w:val="20"/>
          <w:szCs w:val="20"/>
        </w:rPr>
        <w:t>, drawn from the Governing Board feedback on the 2009 draft,</w:t>
      </w:r>
      <w:r>
        <w:rPr>
          <w:rFonts w:ascii="Arial" w:hAnsi="Arial" w:cs="Arial"/>
          <w:sz w:val="20"/>
          <w:szCs w:val="20"/>
        </w:rPr>
        <w:t xml:space="preserve"> and the respective consultation modalities.</w:t>
      </w:r>
      <w:r w:rsidR="00567DAA">
        <w:rPr>
          <w:rFonts w:ascii="Arial" w:hAnsi="Arial" w:cs="Arial"/>
          <w:sz w:val="20"/>
          <w:szCs w:val="20"/>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4"/>
        <w:gridCol w:w="3442"/>
        <w:gridCol w:w="3963"/>
      </w:tblGrid>
      <w:tr w:rsidR="00960E16" w:rsidRPr="002F7D46" w:rsidTr="00245E19">
        <w:trPr>
          <w:trHeight w:val="589"/>
        </w:trPr>
        <w:tc>
          <w:tcPr>
            <w:tcW w:w="2484" w:type="dxa"/>
            <w:shd w:val="clear" w:color="auto" w:fill="00B050"/>
          </w:tcPr>
          <w:p w:rsidR="00960E16" w:rsidRPr="002F7D46" w:rsidRDefault="00960E16" w:rsidP="00D17C67">
            <w:pPr>
              <w:pStyle w:val="ListNumber"/>
              <w:numPr>
                <w:ilvl w:val="0"/>
                <w:numId w:val="0"/>
              </w:numPr>
              <w:rPr>
                <w:b/>
                <w:lang w:val="en-US"/>
              </w:rPr>
            </w:pPr>
            <w:r w:rsidRPr="002F7D46">
              <w:rPr>
                <w:b/>
                <w:lang w:val="en-US"/>
              </w:rPr>
              <w:t>Consultation/Revision</w:t>
            </w:r>
          </w:p>
          <w:p w:rsidR="00960E16" w:rsidRPr="002F7D46" w:rsidRDefault="00960E16" w:rsidP="00D17C67">
            <w:pPr>
              <w:pStyle w:val="ListNumber"/>
              <w:numPr>
                <w:ilvl w:val="0"/>
                <w:numId w:val="0"/>
              </w:numPr>
              <w:rPr>
                <w:b/>
                <w:lang w:val="en-US"/>
              </w:rPr>
            </w:pPr>
            <w:r w:rsidRPr="002F7D46">
              <w:rPr>
                <w:b/>
                <w:lang w:val="en-US"/>
              </w:rPr>
              <w:t>Objective</w:t>
            </w:r>
          </w:p>
        </w:tc>
        <w:tc>
          <w:tcPr>
            <w:tcW w:w="3442" w:type="dxa"/>
            <w:shd w:val="clear" w:color="auto" w:fill="00B050"/>
          </w:tcPr>
          <w:p w:rsidR="00960E16" w:rsidRPr="002F7D46" w:rsidRDefault="00960E16" w:rsidP="00D17C67">
            <w:pPr>
              <w:pStyle w:val="ListNumber"/>
              <w:numPr>
                <w:ilvl w:val="0"/>
                <w:numId w:val="0"/>
              </w:numPr>
              <w:rPr>
                <w:b/>
                <w:highlight w:val="yellow"/>
                <w:lang w:val="en-US"/>
              </w:rPr>
            </w:pPr>
            <w:r w:rsidRPr="002F7D46">
              <w:rPr>
                <w:b/>
                <w:lang w:val="en-US"/>
              </w:rPr>
              <w:t>Indicators of Success</w:t>
            </w:r>
          </w:p>
        </w:tc>
        <w:tc>
          <w:tcPr>
            <w:tcW w:w="3963" w:type="dxa"/>
            <w:shd w:val="clear" w:color="auto" w:fill="00B050"/>
          </w:tcPr>
          <w:p w:rsidR="00960E16" w:rsidRPr="002F7D46" w:rsidRDefault="00960E16" w:rsidP="00D17C67">
            <w:pPr>
              <w:pStyle w:val="ListNumber"/>
              <w:numPr>
                <w:ilvl w:val="0"/>
                <w:numId w:val="0"/>
              </w:numPr>
              <w:rPr>
                <w:b/>
                <w:lang w:val="en-US"/>
              </w:rPr>
            </w:pPr>
            <w:r w:rsidRPr="002F7D46">
              <w:rPr>
                <w:b/>
                <w:lang w:val="en-US"/>
              </w:rPr>
              <w:t>Consultation Modality</w:t>
            </w:r>
          </w:p>
        </w:tc>
      </w:tr>
      <w:tr w:rsidR="00960E16" w:rsidRPr="002F7D46" w:rsidTr="00960E16">
        <w:tc>
          <w:tcPr>
            <w:tcW w:w="2484" w:type="dxa"/>
            <w:vMerge w:val="restart"/>
          </w:tcPr>
          <w:p w:rsidR="00960E16" w:rsidRPr="00DE1077" w:rsidRDefault="00960E16" w:rsidP="00960E16">
            <w:pPr>
              <w:pStyle w:val="ListParagraph"/>
              <w:numPr>
                <w:ilvl w:val="0"/>
                <w:numId w:val="6"/>
              </w:numPr>
              <w:rPr>
                <w:rFonts w:asciiTheme="minorHAnsi" w:eastAsia="Times New Roman" w:hAnsiTheme="minorHAnsi" w:cs="Arial"/>
                <w:b/>
                <w:sz w:val="20"/>
                <w:szCs w:val="20"/>
              </w:rPr>
            </w:pPr>
            <w:r w:rsidRPr="00DE1077">
              <w:rPr>
                <w:rFonts w:asciiTheme="minorHAnsi" w:eastAsia="Times New Roman" w:hAnsiTheme="minorHAnsi" w:cs="Arial"/>
                <w:b/>
                <w:sz w:val="20"/>
                <w:szCs w:val="20"/>
              </w:rPr>
              <w:t xml:space="preserve">To provide clear and consistent language and reference to relevant policy, commitments, standards and accountability measures. </w:t>
            </w:r>
          </w:p>
        </w:tc>
        <w:tc>
          <w:tcPr>
            <w:tcW w:w="3442" w:type="dxa"/>
          </w:tcPr>
          <w:p w:rsidR="00960E16" w:rsidRPr="00DE1077" w:rsidRDefault="00960E16" w:rsidP="00D17C67">
            <w:pPr>
              <w:rPr>
                <w:rFonts w:asciiTheme="minorHAnsi" w:hAnsiTheme="minorHAnsi" w:cs="Arial"/>
                <w:sz w:val="20"/>
                <w:szCs w:val="20"/>
              </w:rPr>
            </w:pPr>
            <w:r w:rsidRPr="00DE1077">
              <w:rPr>
                <w:rFonts w:asciiTheme="minorHAnsi" w:hAnsiTheme="minorHAnsi" w:cs="Arial"/>
                <w:sz w:val="20"/>
                <w:szCs w:val="20"/>
              </w:rPr>
              <w:t xml:space="preserve">P&amp;R language is consistent, with clear definition of terms.  </w:t>
            </w:r>
          </w:p>
          <w:p w:rsidR="00960E16" w:rsidRPr="00DE1077" w:rsidRDefault="00960E16" w:rsidP="00D17C67">
            <w:pPr>
              <w:pStyle w:val="ListNumber"/>
              <w:numPr>
                <w:ilvl w:val="0"/>
                <w:numId w:val="0"/>
              </w:numPr>
              <w:rPr>
                <w:rFonts w:asciiTheme="minorHAnsi" w:hAnsiTheme="minorHAnsi"/>
                <w:sz w:val="20"/>
                <w:szCs w:val="20"/>
              </w:rPr>
            </w:pPr>
          </w:p>
        </w:tc>
        <w:tc>
          <w:tcPr>
            <w:tcW w:w="3963" w:type="dxa"/>
            <w:vMerge w:val="restart"/>
          </w:tcPr>
          <w:p w:rsidR="00960E16" w:rsidRPr="00DE1077" w:rsidRDefault="00960E16" w:rsidP="00960E16">
            <w:pPr>
              <w:pStyle w:val="ListNumber"/>
              <w:numPr>
                <w:ilvl w:val="0"/>
                <w:numId w:val="7"/>
              </w:numPr>
              <w:rPr>
                <w:rFonts w:asciiTheme="minorHAnsi" w:hAnsiTheme="minorHAnsi"/>
                <w:sz w:val="20"/>
                <w:szCs w:val="20"/>
                <w:lang w:val="en-US"/>
              </w:rPr>
            </w:pPr>
            <w:r w:rsidRPr="00DE1077">
              <w:rPr>
                <w:rFonts w:asciiTheme="minorHAnsi" w:hAnsiTheme="minorHAnsi"/>
                <w:sz w:val="20"/>
                <w:szCs w:val="20"/>
                <w:lang w:val="en-US"/>
              </w:rPr>
              <w:t>No separate consultation, Secretariat drafting group to ensure consistency and clarity of language.</w:t>
            </w:r>
          </w:p>
        </w:tc>
      </w:tr>
      <w:tr w:rsidR="00960E16" w:rsidRPr="002F7D46" w:rsidTr="00960E16">
        <w:tc>
          <w:tcPr>
            <w:tcW w:w="2484" w:type="dxa"/>
            <w:vMerge/>
          </w:tcPr>
          <w:p w:rsidR="00960E16" w:rsidRPr="00EE6CF5" w:rsidRDefault="00960E16" w:rsidP="00D17C67">
            <w:pPr>
              <w:pStyle w:val="ListParagraph"/>
              <w:ind w:left="360"/>
              <w:rPr>
                <w:rFonts w:asciiTheme="minorHAnsi" w:eastAsiaTheme="minorHAnsi" w:hAnsiTheme="minorHAnsi" w:cs="Arial"/>
                <w:b/>
                <w:sz w:val="20"/>
                <w:szCs w:val="20"/>
              </w:rPr>
            </w:pPr>
          </w:p>
        </w:tc>
        <w:tc>
          <w:tcPr>
            <w:tcW w:w="3442" w:type="dxa"/>
          </w:tcPr>
          <w:p w:rsidR="00960E16" w:rsidRPr="00DE1077" w:rsidRDefault="00960E16" w:rsidP="00D17C67">
            <w:pPr>
              <w:rPr>
                <w:rFonts w:asciiTheme="minorHAnsi" w:hAnsiTheme="minorHAnsi" w:cs="Arial"/>
                <w:sz w:val="20"/>
                <w:szCs w:val="20"/>
              </w:rPr>
            </w:pPr>
            <w:r w:rsidRPr="00DE1077">
              <w:rPr>
                <w:rFonts w:asciiTheme="minorHAnsi" w:hAnsiTheme="minorHAnsi" w:cs="Arial"/>
                <w:sz w:val="20"/>
                <w:szCs w:val="20"/>
              </w:rPr>
              <w:t>P&amp;R reflects current DM policy or “pillars of the Movement” such as the Sphere standards, the Code of Conduct and the Seville Agreement.</w:t>
            </w:r>
          </w:p>
        </w:tc>
        <w:tc>
          <w:tcPr>
            <w:tcW w:w="3963" w:type="dxa"/>
            <w:vMerge/>
          </w:tcPr>
          <w:p w:rsidR="00960E16" w:rsidRPr="00DE1077" w:rsidRDefault="00960E16" w:rsidP="00D17C67">
            <w:pPr>
              <w:pStyle w:val="ListNumber"/>
              <w:rPr>
                <w:rFonts w:asciiTheme="minorHAnsi" w:hAnsiTheme="minorHAnsi"/>
                <w:sz w:val="20"/>
                <w:szCs w:val="20"/>
                <w:lang w:val="en-US"/>
              </w:rPr>
            </w:pPr>
          </w:p>
        </w:tc>
      </w:tr>
      <w:tr w:rsidR="00960E16" w:rsidRPr="002F7D46" w:rsidTr="00960E16">
        <w:tc>
          <w:tcPr>
            <w:tcW w:w="2484" w:type="dxa"/>
            <w:vMerge/>
          </w:tcPr>
          <w:p w:rsidR="00960E16" w:rsidRPr="00EE6CF5" w:rsidRDefault="00960E16" w:rsidP="00D17C67">
            <w:pPr>
              <w:pStyle w:val="ListParagraph"/>
              <w:ind w:left="360"/>
              <w:rPr>
                <w:rFonts w:asciiTheme="minorHAnsi" w:eastAsiaTheme="minorHAnsi" w:hAnsiTheme="minorHAnsi" w:cs="Arial"/>
                <w:b/>
                <w:sz w:val="20"/>
                <w:szCs w:val="20"/>
              </w:rPr>
            </w:pPr>
          </w:p>
        </w:tc>
        <w:tc>
          <w:tcPr>
            <w:tcW w:w="3442" w:type="dxa"/>
          </w:tcPr>
          <w:p w:rsidR="00960E16" w:rsidRPr="00DE1077" w:rsidRDefault="00960E16" w:rsidP="00D17C67">
            <w:pPr>
              <w:rPr>
                <w:rFonts w:asciiTheme="minorHAnsi" w:hAnsiTheme="minorHAnsi" w:cs="Arial"/>
                <w:sz w:val="20"/>
                <w:szCs w:val="20"/>
              </w:rPr>
            </w:pPr>
            <w:r w:rsidRPr="00DE1077">
              <w:rPr>
                <w:rFonts w:asciiTheme="minorHAnsi" w:hAnsiTheme="minorHAnsi" w:cs="Arial"/>
                <w:sz w:val="20"/>
                <w:szCs w:val="20"/>
              </w:rPr>
              <w:t>Language on accountability is strengthened.</w:t>
            </w:r>
          </w:p>
        </w:tc>
        <w:tc>
          <w:tcPr>
            <w:tcW w:w="3963" w:type="dxa"/>
            <w:vMerge/>
          </w:tcPr>
          <w:p w:rsidR="00960E16" w:rsidRPr="00DE1077" w:rsidRDefault="00960E16" w:rsidP="00D17C67">
            <w:pPr>
              <w:pStyle w:val="ListNumber"/>
              <w:numPr>
                <w:ilvl w:val="0"/>
                <w:numId w:val="0"/>
              </w:numPr>
              <w:rPr>
                <w:rFonts w:asciiTheme="minorHAnsi" w:hAnsiTheme="minorHAnsi"/>
                <w:sz w:val="20"/>
                <w:szCs w:val="20"/>
                <w:lang w:val="en-US"/>
              </w:rPr>
            </w:pPr>
          </w:p>
        </w:tc>
      </w:tr>
      <w:tr w:rsidR="00960E16" w:rsidRPr="002F7D46" w:rsidTr="00960E16">
        <w:tc>
          <w:tcPr>
            <w:tcW w:w="2484" w:type="dxa"/>
            <w:vMerge w:val="restart"/>
          </w:tcPr>
          <w:p w:rsidR="00960E16" w:rsidRPr="00DE1077" w:rsidRDefault="00960E16" w:rsidP="00960E16">
            <w:pPr>
              <w:pStyle w:val="ListParagraph"/>
              <w:numPr>
                <w:ilvl w:val="0"/>
                <w:numId w:val="6"/>
              </w:numPr>
              <w:rPr>
                <w:rFonts w:asciiTheme="minorHAnsi" w:eastAsia="Times New Roman" w:hAnsiTheme="minorHAnsi" w:cs="Arial"/>
                <w:b/>
                <w:sz w:val="20"/>
                <w:szCs w:val="20"/>
              </w:rPr>
            </w:pPr>
            <w:r w:rsidRPr="00DE1077">
              <w:rPr>
                <w:rFonts w:asciiTheme="minorHAnsi" w:eastAsia="Times New Roman" w:hAnsiTheme="minorHAnsi" w:cs="Arial"/>
                <w:b/>
                <w:sz w:val="20"/>
                <w:szCs w:val="20"/>
              </w:rPr>
              <w:t>To clarify the field of application of the P&amp;R</w:t>
            </w:r>
          </w:p>
        </w:tc>
        <w:tc>
          <w:tcPr>
            <w:tcW w:w="3442" w:type="dxa"/>
          </w:tcPr>
          <w:p w:rsidR="00960E16" w:rsidRPr="00DE1077" w:rsidRDefault="00960E16" w:rsidP="00D17C67">
            <w:pPr>
              <w:rPr>
                <w:rFonts w:asciiTheme="minorHAnsi" w:hAnsiTheme="minorHAnsi" w:cs="Arial"/>
                <w:sz w:val="20"/>
                <w:szCs w:val="20"/>
              </w:rPr>
            </w:pPr>
            <w:r w:rsidRPr="00DE1077">
              <w:rPr>
                <w:rFonts w:asciiTheme="minorHAnsi" w:hAnsiTheme="minorHAnsi" w:cs="Arial"/>
                <w:sz w:val="20"/>
                <w:szCs w:val="20"/>
              </w:rPr>
              <w:t>Roles of the different components of the Movement are clear in the P&amp;R and the field of application is clarified.</w:t>
            </w:r>
          </w:p>
          <w:p w:rsidR="00960E16" w:rsidRPr="00DE1077" w:rsidRDefault="00960E16" w:rsidP="00D17C67">
            <w:pPr>
              <w:rPr>
                <w:rFonts w:asciiTheme="minorHAnsi" w:hAnsiTheme="minorHAnsi" w:cs="Arial"/>
                <w:sz w:val="20"/>
                <w:szCs w:val="20"/>
              </w:rPr>
            </w:pPr>
          </w:p>
        </w:tc>
        <w:tc>
          <w:tcPr>
            <w:tcW w:w="3963" w:type="dxa"/>
          </w:tcPr>
          <w:p w:rsidR="00960E16" w:rsidRPr="00DE1077" w:rsidRDefault="00960E16" w:rsidP="00960E16">
            <w:pPr>
              <w:pStyle w:val="ListNumber"/>
              <w:numPr>
                <w:ilvl w:val="0"/>
                <w:numId w:val="7"/>
              </w:numPr>
              <w:rPr>
                <w:rFonts w:asciiTheme="minorHAnsi" w:hAnsiTheme="minorHAnsi"/>
                <w:sz w:val="20"/>
                <w:szCs w:val="20"/>
                <w:lang w:val="en-US"/>
              </w:rPr>
            </w:pPr>
            <w:r w:rsidRPr="00DE1077">
              <w:rPr>
                <w:rFonts w:asciiTheme="minorHAnsi" w:hAnsiTheme="minorHAnsi"/>
                <w:sz w:val="20"/>
                <w:szCs w:val="20"/>
                <w:lang w:val="en-US"/>
              </w:rPr>
              <w:t>National Society Consult</w:t>
            </w:r>
            <w:r w:rsidR="008C3AD4">
              <w:rPr>
                <w:rFonts w:asciiTheme="minorHAnsi" w:hAnsiTheme="minorHAnsi"/>
                <w:sz w:val="20"/>
                <w:szCs w:val="20"/>
                <w:lang w:val="en-US"/>
              </w:rPr>
              <w:t>ation</w:t>
            </w:r>
          </w:p>
          <w:p w:rsidR="00960E16" w:rsidRPr="00DE1077" w:rsidRDefault="00960E16" w:rsidP="00D17C67">
            <w:pPr>
              <w:pStyle w:val="ListNumber"/>
              <w:numPr>
                <w:ilvl w:val="0"/>
                <w:numId w:val="0"/>
              </w:numPr>
              <w:rPr>
                <w:rFonts w:asciiTheme="minorHAnsi" w:hAnsiTheme="minorHAnsi"/>
                <w:sz w:val="20"/>
                <w:szCs w:val="20"/>
                <w:lang w:val="en-US"/>
              </w:rPr>
            </w:pPr>
          </w:p>
          <w:p w:rsidR="00960E16" w:rsidRPr="00DE1077" w:rsidRDefault="00960E16" w:rsidP="00960E16">
            <w:pPr>
              <w:pStyle w:val="ListNumber"/>
              <w:numPr>
                <w:ilvl w:val="0"/>
                <w:numId w:val="7"/>
              </w:numPr>
              <w:rPr>
                <w:rFonts w:asciiTheme="minorHAnsi" w:hAnsiTheme="minorHAnsi"/>
                <w:sz w:val="20"/>
                <w:szCs w:val="20"/>
                <w:lang w:val="en-US"/>
              </w:rPr>
            </w:pPr>
            <w:r w:rsidRPr="00DE1077">
              <w:rPr>
                <w:rFonts w:asciiTheme="minorHAnsi" w:hAnsiTheme="minorHAnsi"/>
                <w:sz w:val="20"/>
                <w:szCs w:val="20"/>
                <w:lang w:val="en-US"/>
              </w:rPr>
              <w:t>Consultations with ICRC</w:t>
            </w:r>
          </w:p>
          <w:p w:rsidR="00960E16" w:rsidRPr="00DE1077" w:rsidRDefault="00960E16" w:rsidP="00D17C67">
            <w:pPr>
              <w:pStyle w:val="ListNumber"/>
              <w:numPr>
                <w:ilvl w:val="0"/>
                <w:numId w:val="0"/>
              </w:numPr>
              <w:rPr>
                <w:rFonts w:asciiTheme="minorHAnsi" w:hAnsiTheme="minorHAnsi"/>
                <w:sz w:val="20"/>
                <w:szCs w:val="20"/>
                <w:lang w:val="en-US"/>
              </w:rPr>
            </w:pPr>
          </w:p>
          <w:p w:rsidR="00960E16" w:rsidRPr="00DE1077" w:rsidRDefault="00BB4D58" w:rsidP="00BB4D58">
            <w:pPr>
              <w:pStyle w:val="ListNumber"/>
              <w:numPr>
                <w:ilvl w:val="0"/>
                <w:numId w:val="7"/>
              </w:numPr>
              <w:rPr>
                <w:rFonts w:asciiTheme="minorHAnsi" w:hAnsiTheme="minorHAnsi"/>
                <w:sz w:val="20"/>
                <w:szCs w:val="20"/>
                <w:lang w:val="en-US"/>
              </w:rPr>
            </w:pPr>
            <w:r w:rsidRPr="00DE1077">
              <w:rPr>
                <w:rFonts w:asciiTheme="minorHAnsi" w:hAnsiTheme="minorHAnsi"/>
                <w:sz w:val="20"/>
                <w:szCs w:val="20"/>
              </w:rPr>
              <w:t>DCMAB consultation</w:t>
            </w:r>
          </w:p>
        </w:tc>
      </w:tr>
      <w:tr w:rsidR="00960E16" w:rsidRPr="002F7D46" w:rsidTr="00960E16">
        <w:tc>
          <w:tcPr>
            <w:tcW w:w="2484" w:type="dxa"/>
            <w:vMerge/>
          </w:tcPr>
          <w:p w:rsidR="00960E16" w:rsidRPr="00EE6CF5" w:rsidRDefault="00960E16" w:rsidP="00D17C67">
            <w:pPr>
              <w:pStyle w:val="ListParagraph"/>
              <w:ind w:left="360"/>
              <w:rPr>
                <w:rFonts w:asciiTheme="minorHAnsi" w:eastAsiaTheme="minorHAnsi" w:hAnsiTheme="minorHAnsi" w:cs="Arial"/>
                <w:b/>
                <w:sz w:val="20"/>
                <w:szCs w:val="20"/>
              </w:rPr>
            </w:pPr>
          </w:p>
        </w:tc>
        <w:tc>
          <w:tcPr>
            <w:tcW w:w="3442" w:type="dxa"/>
          </w:tcPr>
          <w:p w:rsidR="00960E16" w:rsidRPr="00DE1077" w:rsidRDefault="00960E16" w:rsidP="00D17C67">
            <w:pPr>
              <w:rPr>
                <w:rFonts w:asciiTheme="minorHAnsi" w:hAnsiTheme="minorHAnsi" w:cs="Arial"/>
                <w:sz w:val="20"/>
                <w:szCs w:val="20"/>
              </w:rPr>
            </w:pPr>
            <w:r w:rsidRPr="00DE1077">
              <w:rPr>
                <w:rFonts w:asciiTheme="minorHAnsi" w:hAnsiTheme="minorHAnsi" w:cs="Arial"/>
                <w:sz w:val="20"/>
                <w:szCs w:val="20"/>
              </w:rPr>
              <w:t>P&amp;R is aligned with S2020 and an extension to cover crises has been considered.</w:t>
            </w:r>
          </w:p>
        </w:tc>
        <w:tc>
          <w:tcPr>
            <w:tcW w:w="3963" w:type="dxa"/>
          </w:tcPr>
          <w:p w:rsidR="00960E16" w:rsidRPr="00DE1077" w:rsidRDefault="00960E16" w:rsidP="00960E16">
            <w:pPr>
              <w:pStyle w:val="ListNumber"/>
              <w:numPr>
                <w:ilvl w:val="0"/>
                <w:numId w:val="8"/>
              </w:numPr>
              <w:rPr>
                <w:rFonts w:asciiTheme="minorHAnsi" w:hAnsiTheme="minorHAnsi"/>
                <w:sz w:val="20"/>
                <w:szCs w:val="20"/>
              </w:rPr>
            </w:pPr>
            <w:r w:rsidRPr="00DE1077">
              <w:rPr>
                <w:rFonts w:asciiTheme="minorHAnsi" w:hAnsiTheme="minorHAnsi"/>
                <w:sz w:val="20"/>
                <w:szCs w:val="20"/>
              </w:rPr>
              <w:t>National Society Consultation</w:t>
            </w:r>
          </w:p>
          <w:p w:rsidR="00960E16" w:rsidRPr="00DE1077" w:rsidRDefault="00960E16" w:rsidP="00D17C67">
            <w:pPr>
              <w:pStyle w:val="ListNumber"/>
              <w:numPr>
                <w:ilvl w:val="0"/>
                <w:numId w:val="0"/>
              </w:numPr>
              <w:rPr>
                <w:rFonts w:asciiTheme="minorHAnsi" w:hAnsiTheme="minorHAnsi"/>
                <w:sz w:val="20"/>
                <w:szCs w:val="20"/>
              </w:rPr>
            </w:pPr>
            <w:r w:rsidRPr="00DE1077">
              <w:rPr>
                <w:rFonts w:asciiTheme="minorHAnsi" w:hAnsiTheme="minorHAnsi"/>
                <w:sz w:val="20"/>
                <w:szCs w:val="20"/>
              </w:rPr>
              <w:t xml:space="preserve"> </w:t>
            </w:r>
          </w:p>
        </w:tc>
      </w:tr>
      <w:tr w:rsidR="00960E16" w:rsidRPr="002F7D46" w:rsidTr="00960E16">
        <w:tc>
          <w:tcPr>
            <w:tcW w:w="2484" w:type="dxa"/>
          </w:tcPr>
          <w:p w:rsidR="00960E16" w:rsidRPr="00EE6CF5" w:rsidRDefault="00960E16" w:rsidP="00960E16">
            <w:pPr>
              <w:pStyle w:val="ListParagraph"/>
              <w:numPr>
                <w:ilvl w:val="0"/>
                <w:numId w:val="6"/>
              </w:numPr>
              <w:rPr>
                <w:rFonts w:asciiTheme="minorHAnsi" w:eastAsiaTheme="minorHAnsi" w:hAnsiTheme="minorHAnsi" w:cs="Arial"/>
                <w:b/>
                <w:sz w:val="20"/>
                <w:szCs w:val="20"/>
              </w:rPr>
            </w:pPr>
            <w:r w:rsidRPr="00DE1077">
              <w:rPr>
                <w:rFonts w:asciiTheme="minorHAnsi" w:eastAsia="Times New Roman" w:hAnsiTheme="minorHAnsi" w:cs="Arial"/>
                <w:b/>
                <w:sz w:val="20"/>
                <w:szCs w:val="20"/>
              </w:rPr>
              <w:t>To</w:t>
            </w:r>
            <w:r w:rsidRPr="00EE6CF5">
              <w:rPr>
                <w:rFonts w:asciiTheme="minorHAnsi" w:eastAsiaTheme="minorHAnsi" w:hAnsiTheme="minorHAnsi" w:cs="Arial"/>
                <w:b/>
                <w:sz w:val="20"/>
                <w:szCs w:val="20"/>
              </w:rPr>
              <w:t xml:space="preserve"> include or refer to guidance on relations with external partners </w:t>
            </w:r>
          </w:p>
        </w:tc>
        <w:tc>
          <w:tcPr>
            <w:tcW w:w="3442" w:type="dxa"/>
          </w:tcPr>
          <w:p w:rsidR="00960E16" w:rsidRPr="00DE1077" w:rsidRDefault="00960E16" w:rsidP="00D17C67">
            <w:pPr>
              <w:rPr>
                <w:rFonts w:asciiTheme="minorHAnsi" w:hAnsiTheme="minorHAnsi" w:cs="Arial"/>
                <w:sz w:val="20"/>
                <w:szCs w:val="20"/>
              </w:rPr>
            </w:pPr>
            <w:r w:rsidRPr="00DE1077">
              <w:rPr>
                <w:rFonts w:asciiTheme="minorHAnsi" w:hAnsiTheme="minorHAnsi" w:cs="Arial"/>
                <w:sz w:val="20"/>
                <w:szCs w:val="20"/>
              </w:rPr>
              <w:t>Relations with external actors (private sector, civil protection, military, UN bodies, the clusters) are elaborated or references to appropriate guidance are included in the P&amp;R.</w:t>
            </w:r>
          </w:p>
        </w:tc>
        <w:tc>
          <w:tcPr>
            <w:tcW w:w="3963" w:type="dxa"/>
          </w:tcPr>
          <w:p w:rsidR="00960E16" w:rsidRPr="00DE1077" w:rsidRDefault="00960E16" w:rsidP="00960E16">
            <w:pPr>
              <w:pStyle w:val="ListNumber"/>
              <w:numPr>
                <w:ilvl w:val="0"/>
                <w:numId w:val="8"/>
              </w:numPr>
              <w:rPr>
                <w:rFonts w:asciiTheme="minorHAnsi" w:hAnsiTheme="minorHAnsi"/>
                <w:sz w:val="20"/>
                <w:szCs w:val="20"/>
                <w:lang w:val="en-US"/>
              </w:rPr>
            </w:pPr>
            <w:r w:rsidRPr="00DE1077">
              <w:rPr>
                <w:rFonts w:asciiTheme="minorHAnsi" w:hAnsiTheme="minorHAnsi"/>
                <w:sz w:val="20"/>
                <w:szCs w:val="20"/>
                <w:lang w:val="en-US"/>
              </w:rPr>
              <w:t>National Society Consultation, to be closely linked to the ‘</w:t>
            </w:r>
            <w:r w:rsidR="00BB4D58" w:rsidRPr="00DE1077">
              <w:rPr>
                <w:rFonts w:asciiTheme="minorHAnsi" w:hAnsiTheme="minorHAnsi"/>
                <w:sz w:val="20"/>
                <w:szCs w:val="20"/>
                <w:lang w:val="en-US"/>
              </w:rPr>
              <w:t xml:space="preserve">Movement </w:t>
            </w:r>
            <w:r w:rsidRPr="00DE1077">
              <w:rPr>
                <w:rFonts w:asciiTheme="minorHAnsi" w:hAnsiTheme="minorHAnsi"/>
                <w:sz w:val="20"/>
                <w:szCs w:val="20"/>
                <w:lang w:val="en-US"/>
              </w:rPr>
              <w:t>relations with</w:t>
            </w:r>
            <w:r w:rsidRPr="00DE1077">
              <w:rPr>
                <w:rFonts w:asciiTheme="minorHAnsi" w:hAnsiTheme="minorHAnsi" w:cs="Arial"/>
                <w:sz w:val="20"/>
                <w:szCs w:val="20"/>
              </w:rPr>
              <w:t xml:space="preserve"> external actors initiative’.</w:t>
            </w:r>
          </w:p>
        </w:tc>
      </w:tr>
      <w:tr w:rsidR="00960E16" w:rsidRPr="002F7D46" w:rsidTr="00960E16">
        <w:tc>
          <w:tcPr>
            <w:tcW w:w="2484" w:type="dxa"/>
          </w:tcPr>
          <w:p w:rsidR="00960E16" w:rsidRPr="00EE6CF5" w:rsidRDefault="00960E16" w:rsidP="00960E16">
            <w:pPr>
              <w:pStyle w:val="ListParagraph"/>
              <w:numPr>
                <w:ilvl w:val="0"/>
                <w:numId w:val="6"/>
              </w:numPr>
              <w:rPr>
                <w:rFonts w:asciiTheme="minorHAnsi" w:eastAsiaTheme="minorHAnsi" w:hAnsiTheme="minorHAnsi" w:cs="Arial"/>
                <w:b/>
                <w:sz w:val="20"/>
                <w:szCs w:val="20"/>
              </w:rPr>
            </w:pPr>
            <w:r w:rsidRPr="00EE6CF5">
              <w:rPr>
                <w:rFonts w:asciiTheme="minorHAnsi" w:eastAsiaTheme="minorHAnsi" w:hAnsiTheme="minorHAnsi" w:cs="Arial"/>
                <w:b/>
                <w:sz w:val="20"/>
                <w:szCs w:val="20"/>
              </w:rPr>
              <w:t>To further elaborate on the transition from emergency to early recovery</w:t>
            </w:r>
          </w:p>
        </w:tc>
        <w:tc>
          <w:tcPr>
            <w:tcW w:w="3442" w:type="dxa"/>
          </w:tcPr>
          <w:p w:rsidR="00960E16" w:rsidRPr="00DE1077" w:rsidRDefault="00960E16" w:rsidP="00D17C67">
            <w:pPr>
              <w:rPr>
                <w:rFonts w:asciiTheme="minorHAnsi" w:hAnsiTheme="minorHAnsi" w:cs="Arial"/>
                <w:sz w:val="20"/>
                <w:szCs w:val="20"/>
              </w:rPr>
            </w:pPr>
            <w:r w:rsidRPr="00DE1077">
              <w:rPr>
                <w:rFonts w:asciiTheme="minorHAnsi" w:hAnsiTheme="minorHAnsi" w:cs="Arial"/>
                <w:sz w:val="20"/>
                <w:szCs w:val="20"/>
              </w:rPr>
              <w:t>Extension to transition to early recovery is reflected in the P&amp;R.</w:t>
            </w:r>
          </w:p>
          <w:p w:rsidR="00960E16" w:rsidRPr="00EE6CF5" w:rsidRDefault="00960E16" w:rsidP="00D17C67">
            <w:pPr>
              <w:pStyle w:val="ListParagraph"/>
              <w:ind w:left="360"/>
              <w:rPr>
                <w:rFonts w:asciiTheme="minorHAnsi" w:eastAsiaTheme="minorHAnsi" w:hAnsiTheme="minorHAnsi" w:cs="Arial"/>
                <w:sz w:val="20"/>
                <w:szCs w:val="20"/>
              </w:rPr>
            </w:pPr>
          </w:p>
        </w:tc>
        <w:tc>
          <w:tcPr>
            <w:tcW w:w="3963" w:type="dxa"/>
          </w:tcPr>
          <w:p w:rsidR="00960E16" w:rsidRPr="00DE1077" w:rsidRDefault="00960E16" w:rsidP="00960E16">
            <w:pPr>
              <w:pStyle w:val="ListNumber"/>
              <w:numPr>
                <w:ilvl w:val="0"/>
                <w:numId w:val="8"/>
              </w:numPr>
              <w:rPr>
                <w:rFonts w:asciiTheme="minorHAnsi" w:hAnsiTheme="minorHAnsi"/>
                <w:sz w:val="20"/>
                <w:szCs w:val="20"/>
              </w:rPr>
            </w:pPr>
            <w:r w:rsidRPr="00DE1077">
              <w:rPr>
                <w:rFonts w:asciiTheme="minorHAnsi" w:hAnsiTheme="minorHAnsi"/>
                <w:sz w:val="20"/>
                <w:szCs w:val="20"/>
              </w:rPr>
              <w:t>National Society Consultation</w:t>
            </w:r>
          </w:p>
          <w:p w:rsidR="00960E16" w:rsidRPr="00DE1077" w:rsidRDefault="00960E16" w:rsidP="00D17C67">
            <w:pPr>
              <w:pStyle w:val="ListNumber"/>
              <w:numPr>
                <w:ilvl w:val="0"/>
                <w:numId w:val="0"/>
              </w:numPr>
              <w:rPr>
                <w:rFonts w:asciiTheme="minorHAnsi" w:hAnsiTheme="minorHAnsi"/>
                <w:sz w:val="20"/>
                <w:szCs w:val="20"/>
              </w:rPr>
            </w:pPr>
          </w:p>
          <w:p w:rsidR="00960E16" w:rsidRPr="00DE1077" w:rsidRDefault="00960E16" w:rsidP="00960E16">
            <w:pPr>
              <w:pStyle w:val="ListNumber"/>
              <w:numPr>
                <w:ilvl w:val="0"/>
                <w:numId w:val="8"/>
              </w:numPr>
              <w:rPr>
                <w:rFonts w:asciiTheme="minorHAnsi" w:hAnsiTheme="minorHAnsi"/>
                <w:sz w:val="20"/>
                <w:szCs w:val="20"/>
              </w:rPr>
            </w:pPr>
            <w:r w:rsidRPr="00DE1077">
              <w:rPr>
                <w:rFonts w:asciiTheme="minorHAnsi" w:hAnsiTheme="minorHAnsi"/>
                <w:sz w:val="20"/>
                <w:szCs w:val="20"/>
              </w:rPr>
              <w:t xml:space="preserve">DCMAB </w:t>
            </w:r>
            <w:r w:rsidR="00BB4D58" w:rsidRPr="00DE1077">
              <w:rPr>
                <w:rFonts w:asciiTheme="minorHAnsi" w:hAnsiTheme="minorHAnsi"/>
                <w:sz w:val="20"/>
                <w:szCs w:val="20"/>
              </w:rPr>
              <w:t xml:space="preserve">consultation </w:t>
            </w:r>
            <w:r w:rsidRPr="00DE1077">
              <w:rPr>
                <w:rFonts w:asciiTheme="minorHAnsi" w:hAnsiTheme="minorHAnsi"/>
                <w:sz w:val="20"/>
                <w:szCs w:val="20"/>
              </w:rPr>
              <w:t>(linked to a discussion on recovery policy)</w:t>
            </w:r>
          </w:p>
        </w:tc>
      </w:tr>
      <w:tr w:rsidR="00960E16" w:rsidRPr="002F7D46" w:rsidTr="00960E16">
        <w:tc>
          <w:tcPr>
            <w:tcW w:w="2484" w:type="dxa"/>
          </w:tcPr>
          <w:p w:rsidR="00960E16" w:rsidRPr="00EE6CF5" w:rsidRDefault="00960E16" w:rsidP="00960E16">
            <w:pPr>
              <w:pStyle w:val="ListParagraph"/>
              <w:numPr>
                <w:ilvl w:val="0"/>
                <w:numId w:val="6"/>
              </w:numPr>
              <w:rPr>
                <w:rFonts w:asciiTheme="minorHAnsi" w:eastAsiaTheme="minorHAnsi" w:hAnsiTheme="minorHAnsi" w:cs="Arial"/>
                <w:b/>
                <w:sz w:val="20"/>
                <w:szCs w:val="20"/>
              </w:rPr>
            </w:pPr>
            <w:r w:rsidRPr="00EE6CF5">
              <w:rPr>
                <w:rFonts w:asciiTheme="minorHAnsi" w:eastAsiaTheme="minorHAnsi" w:hAnsiTheme="minorHAnsi" w:cs="Arial"/>
                <w:b/>
                <w:sz w:val="20"/>
                <w:szCs w:val="20"/>
              </w:rPr>
              <w:t>To clarify the roles and responsibilities regarding the use of unspent funds</w:t>
            </w:r>
          </w:p>
        </w:tc>
        <w:tc>
          <w:tcPr>
            <w:tcW w:w="3442" w:type="dxa"/>
          </w:tcPr>
          <w:p w:rsidR="00960E16" w:rsidRPr="00DE1077" w:rsidRDefault="00960E16" w:rsidP="00D17C67">
            <w:pPr>
              <w:rPr>
                <w:rFonts w:asciiTheme="minorHAnsi" w:hAnsiTheme="minorHAnsi" w:cs="Arial"/>
                <w:sz w:val="20"/>
                <w:szCs w:val="20"/>
              </w:rPr>
            </w:pPr>
            <w:r w:rsidRPr="00DE1077">
              <w:rPr>
                <w:rFonts w:asciiTheme="minorHAnsi" w:hAnsiTheme="minorHAnsi" w:cs="Arial"/>
                <w:sz w:val="20"/>
                <w:szCs w:val="20"/>
              </w:rPr>
              <w:t>Decision making over unspent funds between a donor NS and the Federation Secretariat as well as for bilateral operations are clarified in the P&amp;R.</w:t>
            </w:r>
          </w:p>
          <w:p w:rsidR="00960E16" w:rsidRPr="00DE1077" w:rsidRDefault="00960E16" w:rsidP="00D17C67">
            <w:pPr>
              <w:rPr>
                <w:rFonts w:asciiTheme="minorHAnsi" w:hAnsiTheme="minorHAnsi" w:cs="Arial"/>
                <w:sz w:val="20"/>
                <w:szCs w:val="20"/>
              </w:rPr>
            </w:pPr>
          </w:p>
        </w:tc>
        <w:tc>
          <w:tcPr>
            <w:tcW w:w="3963" w:type="dxa"/>
          </w:tcPr>
          <w:p w:rsidR="00960E16" w:rsidRPr="00DE1077" w:rsidRDefault="00960E16" w:rsidP="00D17C67">
            <w:pPr>
              <w:pStyle w:val="ListNumber"/>
              <w:numPr>
                <w:ilvl w:val="0"/>
                <w:numId w:val="0"/>
              </w:numPr>
              <w:rPr>
                <w:rFonts w:asciiTheme="minorHAnsi" w:hAnsiTheme="minorHAnsi"/>
                <w:sz w:val="20"/>
                <w:szCs w:val="20"/>
              </w:rPr>
            </w:pPr>
          </w:p>
          <w:p w:rsidR="00960E16" w:rsidRPr="00DE1077" w:rsidRDefault="00960E16" w:rsidP="00960E16">
            <w:pPr>
              <w:pStyle w:val="ListNumber"/>
              <w:numPr>
                <w:ilvl w:val="0"/>
                <w:numId w:val="9"/>
              </w:numPr>
              <w:rPr>
                <w:rFonts w:asciiTheme="minorHAnsi" w:hAnsiTheme="minorHAnsi"/>
                <w:sz w:val="20"/>
                <w:szCs w:val="20"/>
              </w:rPr>
            </w:pPr>
            <w:r w:rsidRPr="00DE1077">
              <w:rPr>
                <w:rFonts w:asciiTheme="minorHAnsi" w:hAnsiTheme="minorHAnsi"/>
                <w:sz w:val="20"/>
                <w:szCs w:val="20"/>
              </w:rPr>
              <w:t xml:space="preserve">Finance Commission </w:t>
            </w:r>
          </w:p>
        </w:tc>
      </w:tr>
      <w:tr w:rsidR="00960E16" w:rsidRPr="002F7D46" w:rsidTr="00960E16">
        <w:tc>
          <w:tcPr>
            <w:tcW w:w="2484" w:type="dxa"/>
            <w:vMerge w:val="restart"/>
          </w:tcPr>
          <w:p w:rsidR="00960E16" w:rsidRPr="00EE6CF5" w:rsidRDefault="00960E16" w:rsidP="00960E16">
            <w:pPr>
              <w:pStyle w:val="ListParagraph"/>
              <w:numPr>
                <w:ilvl w:val="0"/>
                <w:numId w:val="6"/>
              </w:numPr>
              <w:rPr>
                <w:rFonts w:asciiTheme="minorHAnsi" w:eastAsiaTheme="minorHAnsi" w:hAnsiTheme="minorHAnsi" w:cs="Arial"/>
                <w:b/>
                <w:sz w:val="20"/>
                <w:szCs w:val="20"/>
              </w:rPr>
            </w:pPr>
            <w:r w:rsidRPr="00EE6CF5">
              <w:rPr>
                <w:rFonts w:asciiTheme="minorHAnsi" w:eastAsiaTheme="minorHAnsi" w:hAnsiTheme="minorHAnsi" w:cs="Arial"/>
                <w:b/>
                <w:sz w:val="20"/>
                <w:szCs w:val="20"/>
              </w:rPr>
              <w:t>To consider emerging operating modalities</w:t>
            </w:r>
          </w:p>
        </w:tc>
        <w:tc>
          <w:tcPr>
            <w:tcW w:w="3442" w:type="dxa"/>
          </w:tcPr>
          <w:p w:rsidR="00960E16" w:rsidRPr="00DE1077" w:rsidRDefault="00960E16" w:rsidP="00D17C67">
            <w:pPr>
              <w:rPr>
                <w:rFonts w:asciiTheme="minorHAnsi" w:hAnsiTheme="minorHAnsi" w:cs="Arial"/>
                <w:sz w:val="20"/>
                <w:szCs w:val="20"/>
              </w:rPr>
            </w:pPr>
            <w:r w:rsidRPr="00DE1077">
              <w:rPr>
                <w:rFonts w:asciiTheme="minorHAnsi" w:hAnsiTheme="minorHAnsi" w:cs="Arial"/>
                <w:sz w:val="20"/>
                <w:szCs w:val="20"/>
              </w:rPr>
              <w:t>New NS working internationally in disaster response – including bilateral ways of working (e.g. surge support offered supplementary to established tools and mechanisms) are considered in the context of P&amp;R.</w:t>
            </w:r>
          </w:p>
        </w:tc>
        <w:tc>
          <w:tcPr>
            <w:tcW w:w="3963" w:type="dxa"/>
          </w:tcPr>
          <w:p w:rsidR="00960E16" w:rsidRPr="00DE1077" w:rsidRDefault="00960E16" w:rsidP="00960E16">
            <w:pPr>
              <w:pStyle w:val="ListNumber"/>
              <w:numPr>
                <w:ilvl w:val="0"/>
                <w:numId w:val="10"/>
              </w:numPr>
              <w:rPr>
                <w:rFonts w:asciiTheme="minorHAnsi" w:hAnsiTheme="minorHAnsi"/>
                <w:sz w:val="20"/>
                <w:szCs w:val="20"/>
                <w:lang w:val="en-US"/>
              </w:rPr>
            </w:pPr>
            <w:r w:rsidRPr="00DE1077">
              <w:rPr>
                <w:rFonts w:asciiTheme="minorHAnsi" w:hAnsiTheme="minorHAnsi"/>
                <w:sz w:val="20"/>
                <w:szCs w:val="20"/>
                <w:lang w:val="en-US"/>
              </w:rPr>
              <w:t xml:space="preserve">National Society </w:t>
            </w:r>
            <w:r w:rsidR="008C3AD4">
              <w:rPr>
                <w:rFonts w:asciiTheme="minorHAnsi" w:hAnsiTheme="minorHAnsi"/>
                <w:sz w:val="20"/>
                <w:szCs w:val="20"/>
                <w:lang w:val="en-US"/>
              </w:rPr>
              <w:t>Consultation</w:t>
            </w:r>
          </w:p>
          <w:p w:rsidR="00960E16" w:rsidRPr="00DE1077" w:rsidRDefault="00960E16" w:rsidP="00D17C67">
            <w:pPr>
              <w:pStyle w:val="ListNumber"/>
              <w:numPr>
                <w:ilvl w:val="0"/>
                <w:numId w:val="0"/>
              </w:numPr>
              <w:rPr>
                <w:rFonts w:asciiTheme="minorHAnsi" w:hAnsiTheme="minorHAnsi"/>
                <w:sz w:val="20"/>
                <w:szCs w:val="20"/>
                <w:lang w:val="en-US"/>
              </w:rPr>
            </w:pPr>
          </w:p>
          <w:p w:rsidR="00960E16" w:rsidRPr="00DE1077" w:rsidRDefault="00960E16" w:rsidP="004E52CF">
            <w:pPr>
              <w:pStyle w:val="ListNumber"/>
              <w:numPr>
                <w:ilvl w:val="0"/>
                <w:numId w:val="10"/>
              </w:numPr>
              <w:rPr>
                <w:rFonts w:asciiTheme="minorHAnsi" w:hAnsiTheme="minorHAnsi"/>
                <w:sz w:val="20"/>
                <w:szCs w:val="20"/>
              </w:rPr>
            </w:pPr>
            <w:r w:rsidRPr="00DE1077">
              <w:rPr>
                <w:rFonts w:asciiTheme="minorHAnsi" w:hAnsiTheme="minorHAnsi"/>
                <w:sz w:val="20"/>
                <w:szCs w:val="20"/>
                <w:lang w:val="en-US"/>
              </w:rPr>
              <w:t xml:space="preserve">Consultations with Disaster Management Working Group (DMWG) </w:t>
            </w:r>
          </w:p>
        </w:tc>
      </w:tr>
      <w:tr w:rsidR="00960E16" w:rsidRPr="002F7D46" w:rsidTr="00960E16">
        <w:tc>
          <w:tcPr>
            <w:tcW w:w="2484" w:type="dxa"/>
            <w:vMerge/>
          </w:tcPr>
          <w:p w:rsidR="00960E16" w:rsidRPr="00EE6CF5" w:rsidRDefault="00960E16" w:rsidP="00D17C67">
            <w:pPr>
              <w:pStyle w:val="ListParagraph"/>
              <w:ind w:left="360"/>
              <w:rPr>
                <w:rFonts w:asciiTheme="minorHAnsi" w:eastAsiaTheme="minorHAnsi" w:hAnsiTheme="minorHAnsi" w:cs="Arial"/>
                <w:sz w:val="20"/>
                <w:szCs w:val="20"/>
              </w:rPr>
            </w:pPr>
          </w:p>
        </w:tc>
        <w:tc>
          <w:tcPr>
            <w:tcW w:w="3442" w:type="dxa"/>
          </w:tcPr>
          <w:p w:rsidR="00960E16" w:rsidRPr="00DE1077" w:rsidRDefault="00960E16" w:rsidP="00D17C67">
            <w:pPr>
              <w:rPr>
                <w:rFonts w:asciiTheme="minorHAnsi" w:hAnsiTheme="minorHAnsi" w:cs="Arial"/>
                <w:sz w:val="20"/>
                <w:szCs w:val="20"/>
              </w:rPr>
            </w:pPr>
            <w:r w:rsidRPr="00DE1077">
              <w:rPr>
                <w:rFonts w:asciiTheme="minorHAnsi" w:hAnsiTheme="minorHAnsi" w:cs="Arial"/>
                <w:sz w:val="20"/>
                <w:szCs w:val="20"/>
              </w:rPr>
              <w:t>Situations where a National Society wants to make a direct international appeal are considered in the context of the P&amp;R.</w:t>
            </w:r>
          </w:p>
          <w:p w:rsidR="00960E16" w:rsidRPr="00EE6CF5" w:rsidRDefault="00960E16" w:rsidP="00D17C67">
            <w:pPr>
              <w:pStyle w:val="ListParagraph"/>
              <w:ind w:left="502"/>
              <w:rPr>
                <w:rFonts w:asciiTheme="minorHAnsi" w:eastAsiaTheme="minorHAnsi" w:hAnsiTheme="minorHAnsi" w:cs="Arial"/>
                <w:sz w:val="20"/>
                <w:szCs w:val="20"/>
              </w:rPr>
            </w:pPr>
          </w:p>
        </w:tc>
        <w:tc>
          <w:tcPr>
            <w:tcW w:w="3963" w:type="dxa"/>
          </w:tcPr>
          <w:p w:rsidR="00960E16" w:rsidRDefault="00960E16" w:rsidP="00960E16">
            <w:pPr>
              <w:pStyle w:val="ListNumber"/>
              <w:numPr>
                <w:ilvl w:val="0"/>
                <w:numId w:val="11"/>
              </w:numPr>
              <w:rPr>
                <w:rFonts w:asciiTheme="minorHAnsi" w:hAnsiTheme="minorHAnsi"/>
                <w:sz w:val="20"/>
                <w:szCs w:val="20"/>
                <w:lang w:val="en-US"/>
              </w:rPr>
            </w:pPr>
            <w:r w:rsidRPr="00DE1077">
              <w:rPr>
                <w:rFonts w:asciiTheme="minorHAnsi" w:hAnsiTheme="minorHAnsi"/>
                <w:sz w:val="20"/>
                <w:szCs w:val="20"/>
                <w:lang w:val="en-US"/>
              </w:rPr>
              <w:t xml:space="preserve">National Society </w:t>
            </w:r>
            <w:r w:rsidR="004E52CF">
              <w:rPr>
                <w:rFonts w:asciiTheme="minorHAnsi" w:hAnsiTheme="minorHAnsi"/>
                <w:sz w:val="20"/>
                <w:szCs w:val="20"/>
                <w:lang w:val="en-US"/>
              </w:rPr>
              <w:t>Consultation</w:t>
            </w:r>
          </w:p>
          <w:p w:rsidR="004E52CF" w:rsidRPr="00DE1077" w:rsidRDefault="004E52CF" w:rsidP="004E52CF">
            <w:pPr>
              <w:pStyle w:val="ListNumber"/>
              <w:numPr>
                <w:ilvl w:val="0"/>
                <w:numId w:val="0"/>
              </w:numPr>
              <w:ind w:left="360"/>
              <w:rPr>
                <w:rFonts w:asciiTheme="minorHAnsi" w:hAnsiTheme="minorHAnsi"/>
                <w:sz w:val="20"/>
                <w:szCs w:val="20"/>
                <w:lang w:val="en-US"/>
              </w:rPr>
            </w:pPr>
          </w:p>
          <w:p w:rsidR="00960E16" w:rsidRPr="00DE1077" w:rsidRDefault="00960E16" w:rsidP="004E52CF">
            <w:pPr>
              <w:pStyle w:val="ListNumber"/>
              <w:numPr>
                <w:ilvl w:val="0"/>
                <w:numId w:val="11"/>
              </w:numPr>
              <w:rPr>
                <w:rFonts w:asciiTheme="minorHAnsi" w:hAnsiTheme="minorHAnsi"/>
                <w:sz w:val="20"/>
                <w:szCs w:val="20"/>
                <w:lang w:val="en-US"/>
              </w:rPr>
            </w:pPr>
            <w:r w:rsidRPr="00DE1077">
              <w:rPr>
                <w:rFonts w:asciiTheme="minorHAnsi" w:hAnsiTheme="minorHAnsi"/>
                <w:sz w:val="20"/>
                <w:szCs w:val="20"/>
                <w:lang w:val="en-US"/>
              </w:rPr>
              <w:t xml:space="preserve">Consultations with the Disaster Management Working Group (DMWG) </w:t>
            </w:r>
          </w:p>
        </w:tc>
      </w:tr>
    </w:tbl>
    <w:p w:rsidR="00960E16" w:rsidRPr="002F5B69" w:rsidRDefault="007A676C" w:rsidP="00B17F42">
      <w:pPr>
        <w:rPr>
          <w:sz w:val="20"/>
          <w:szCs w:val="20"/>
          <w:lang w:val="en-GB" w:eastAsia="en-GB"/>
        </w:rPr>
      </w:pPr>
      <w:r w:rsidRPr="002F5B69">
        <w:rPr>
          <w:b/>
          <w:sz w:val="20"/>
          <w:szCs w:val="20"/>
          <w:lang w:val="en-GB" w:eastAsia="en-GB"/>
        </w:rPr>
        <w:t>Table</w:t>
      </w:r>
      <w:r w:rsidRPr="002F5B69">
        <w:rPr>
          <w:sz w:val="20"/>
          <w:szCs w:val="20"/>
          <w:lang w:val="en-GB" w:eastAsia="en-GB"/>
        </w:rPr>
        <w:t xml:space="preserve"> </w:t>
      </w:r>
      <w:r w:rsidR="009C2F80" w:rsidRPr="002F5B69">
        <w:rPr>
          <w:sz w:val="20"/>
          <w:szCs w:val="20"/>
          <w:lang w:val="en-GB" w:eastAsia="en-GB"/>
        </w:rPr>
        <w:t>1.</w:t>
      </w:r>
      <w:r w:rsidRPr="002F5B69">
        <w:rPr>
          <w:sz w:val="20"/>
          <w:szCs w:val="20"/>
          <w:lang w:val="en-GB" w:eastAsia="en-GB"/>
        </w:rPr>
        <w:t xml:space="preserve"> Summary of the priority topics for consultation and consultation modalities</w:t>
      </w:r>
    </w:p>
    <w:p w:rsidR="00960E16" w:rsidRDefault="00960E16" w:rsidP="006842CB">
      <w:pPr>
        <w:pStyle w:val="Heading1"/>
        <w:numPr>
          <w:ilvl w:val="0"/>
          <w:numId w:val="15"/>
        </w:numPr>
      </w:pPr>
      <w:bookmarkStart w:id="7" w:name="_Toc319944310"/>
      <w:r>
        <w:t>Consultation Schedule</w:t>
      </w:r>
      <w:bookmarkEnd w:id="7"/>
    </w:p>
    <w:p w:rsidR="00F87B4C" w:rsidRDefault="00173D41" w:rsidP="00616E36">
      <w:pPr>
        <w:jc w:val="both"/>
      </w:pPr>
      <w:r w:rsidRPr="0063556C">
        <w:rPr>
          <w:b/>
        </w:rPr>
        <w:t>The National Society consultations</w:t>
      </w:r>
      <w:r>
        <w:t xml:space="preserve"> through the Zones are planned to take place between April 2012 and </w:t>
      </w:r>
      <w:r w:rsidR="00285D4B" w:rsidRPr="00285D4B">
        <w:t>December</w:t>
      </w:r>
      <w:r w:rsidR="00F87B4C">
        <w:t xml:space="preserve"> 2012. Most </w:t>
      </w:r>
      <w:r w:rsidR="0063556C">
        <w:t>of the</w:t>
      </w:r>
      <w:r>
        <w:t xml:space="preserve"> consultations will be linked to other regional or zonal meetings planned for 2012, in order to drive cost </w:t>
      </w:r>
      <w:r w:rsidR="00F87B4C">
        <w:t>effectiveness and to ensur</w:t>
      </w:r>
      <w:r w:rsidR="0063556C">
        <w:t>e synergies with relevant discussions</w:t>
      </w:r>
      <w:r w:rsidR="00F87B4C">
        <w:t xml:space="preserve">. Detailed consultation dates and locations can be found in the below table (Table </w:t>
      </w:r>
      <w:r w:rsidR="009C2F80">
        <w:t>2)</w:t>
      </w:r>
      <w:r w:rsidR="00F87B4C">
        <w:t>.</w:t>
      </w:r>
    </w:p>
    <w:p w:rsidR="0063556C" w:rsidRDefault="0063556C" w:rsidP="00616E36">
      <w:pPr>
        <w:jc w:val="both"/>
      </w:pPr>
      <w:r w:rsidRPr="0063556C">
        <w:rPr>
          <w:b/>
        </w:rPr>
        <w:t xml:space="preserve">The </w:t>
      </w:r>
      <w:r w:rsidR="00F87B4C" w:rsidRPr="0063556C">
        <w:rPr>
          <w:b/>
        </w:rPr>
        <w:t>Expert group consultations</w:t>
      </w:r>
      <w:r w:rsidR="00F87B4C">
        <w:t xml:space="preserve"> </w:t>
      </w:r>
      <w:r>
        <w:t xml:space="preserve">will be focusing on the Finance Commission and the Disaster Management Working Group meetings during 2012. The expert groups are meant to be consulted on specific topics on P&amp;R in relations to their area of expertise. Detailed consultation dates and locations can be found in the below table (Table no </w:t>
      </w:r>
      <w:r w:rsidR="009C2F80">
        <w:t>2)</w:t>
      </w:r>
      <w:r>
        <w:t>.</w:t>
      </w:r>
    </w:p>
    <w:p w:rsidR="0063556C" w:rsidRDefault="0063556C" w:rsidP="00616E36">
      <w:pPr>
        <w:jc w:val="both"/>
      </w:pPr>
      <w:r w:rsidRPr="0063556C">
        <w:rPr>
          <w:b/>
        </w:rPr>
        <w:t xml:space="preserve">Other </w:t>
      </w:r>
      <w:r w:rsidR="00B835D1">
        <w:rPr>
          <w:b/>
        </w:rPr>
        <w:t>relevant</w:t>
      </w:r>
      <w:r w:rsidR="004D0E5C">
        <w:rPr>
          <w:b/>
        </w:rPr>
        <w:t xml:space="preserve"> disaster management</w:t>
      </w:r>
      <w:r w:rsidR="00B835D1">
        <w:rPr>
          <w:b/>
        </w:rPr>
        <w:t xml:space="preserve"> discussions</w:t>
      </w:r>
      <w:r>
        <w:t xml:space="preserve"> might take place as part of Federation meetings during 2012. These consultations will not be part of the formal P&amp;R consultation process but may bring </w:t>
      </w:r>
      <w:r w:rsidR="0049621B">
        <w:t>additional expert inputs to the consultation and revision process.</w:t>
      </w:r>
    </w:p>
    <w:p w:rsidR="00AA1BA8" w:rsidRPr="00CE7B7A" w:rsidRDefault="00AA1BA8" w:rsidP="00616E36">
      <w:pPr>
        <w:jc w:val="both"/>
      </w:pPr>
    </w:p>
    <w:p w:rsidR="005552DC" w:rsidRDefault="00AA1BA8" w:rsidP="00960E16">
      <w:pPr>
        <w:pStyle w:val="Projectsubtitle"/>
        <w:rPr>
          <w:lang w:val="en-GB"/>
        </w:rPr>
      </w:pPr>
      <w:r w:rsidRPr="00285D4B">
        <w:rPr>
          <w:lang w:val="en-GB"/>
        </w:rPr>
        <w:object w:dxaOrig="18232" w:dyaOrig="11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327.75pt" o:ole="">
            <v:imagedata r:id="rId7" o:title=""/>
          </v:shape>
          <o:OLEObject Type="Embed" ProgID="Excel.Sheet.12" ShapeID="_x0000_i1025" DrawAspect="Content" ObjectID="_1432530387" r:id="rId8"/>
        </w:object>
      </w:r>
    </w:p>
    <w:p w:rsidR="00CA5D1F" w:rsidRPr="002F5B69" w:rsidRDefault="002B7C8A" w:rsidP="00EE6CF5">
      <w:pPr>
        <w:spacing w:before="0"/>
        <w:rPr>
          <w:sz w:val="20"/>
          <w:szCs w:val="20"/>
          <w:lang w:val="en-GB"/>
        </w:rPr>
      </w:pPr>
      <w:r w:rsidRPr="002F5B69">
        <w:rPr>
          <w:b/>
          <w:sz w:val="20"/>
          <w:szCs w:val="20"/>
          <w:lang w:val="en-GB"/>
        </w:rPr>
        <w:t xml:space="preserve">Table </w:t>
      </w:r>
      <w:r w:rsidR="009C2F80" w:rsidRPr="002F5B69">
        <w:rPr>
          <w:b/>
          <w:sz w:val="20"/>
          <w:szCs w:val="20"/>
          <w:lang w:val="en-GB"/>
        </w:rPr>
        <w:t>2</w:t>
      </w:r>
      <w:r w:rsidRPr="002F5B69">
        <w:rPr>
          <w:b/>
          <w:sz w:val="20"/>
          <w:szCs w:val="20"/>
          <w:lang w:val="en-GB"/>
        </w:rPr>
        <w:t>.</w:t>
      </w:r>
      <w:r w:rsidRPr="002F5B69">
        <w:rPr>
          <w:sz w:val="20"/>
          <w:szCs w:val="20"/>
          <w:lang w:val="en-GB"/>
        </w:rPr>
        <w:t xml:space="preserve"> Consultation schedule</w:t>
      </w:r>
      <w:r w:rsidR="00CA5D1F" w:rsidRPr="002F5B69">
        <w:rPr>
          <w:sz w:val="20"/>
          <w:szCs w:val="20"/>
          <w:lang w:val="en-GB"/>
        </w:rPr>
        <w:t xml:space="preserve"> </w:t>
      </w:r>
    </w:p>
    <w:p w:rsidR="00BB4D58" w:rsidRPr="00EE6CF5" w:rsidRDefault="00BB4D58" w:rsidP="00EE6CF5">
      <w:pPr>
        <w:spacing w:before="0"/>
        <w:rPr>
          <w:rFonts w:ascii="Arial Rounded MT Bold" w:hAnsi="Arial Rounded MT Bold"/>
          <w:lang w:val="en-GB"/>
        </w:rPr>
      </w:pPr>
    </w:p>
    <w:p w:rsidR="00AA1BA8" w:rsidRDefault="007E00D0">
      <w:pPr>
        <w:pStyle w:val="Heading1"/>
        <w:numPr>
          <w:ilvl w:val="0"/>
          <w:numId w:val="15"/>
        </w:numPr>
      </w:pPr>
      <w:r>
        <w:br w:type="page"/>
      </w:r>
      <w:bookmarkStart w:id="8" w:name="_Toc319944311"/>
      <w:r w:rsidR="00BB4D58">
        <w:t>National Society Consultation Workshops</w:t>
      </w:r>
      <w:bookmarkEnd w:id="8"/>
    </w:p>
    <w:p w:rsidR="00EE6CF5" w:rsidRPr="00EE6CF5" w:rsidRDefault="00EE6CF5" w:rsidP="00EE6CF5"/>
    <w:p w:rsidR="00A217B5" w:rsidRDefault="00B6678A" w:rsidP="00616E36">
      <w:pPr>
        <w:spacing w:before="0"/>
        <w:jc w:val="both"/>
      </w:pPr>
      <w:r>
        <w:t>The</w:t>
      </w:r>
      <w:r w:rsidR="00A217B5">
        <w:t xml:space="preserve"> National Society consultations</w:t>
      </w:r>
      <w:r>
        <w:t xml:space="preserve"> are</w:t>
      </w:r>
      <w:r w:rsidR="00A217B5">
        <w:t xml:space="preserve"> a key part of the consultation process</w:t>
      </w:r>
      <w:r w:rsidR="004E52CF">
        <w:t>.</w:t>
      </w:r>
      <w:r w:rsidR="00E208A6">
        <w:t xml:space="preserve"> They should provide National Societies an opportunity to reflect how the Principles and Rules need to be adjusted to fit the current context of humanitarian work. </w:t>
      </w:r>
      <w:r w:rsidR="00710C8E">
        <w:t>In order to ensure coherence</w:t>
      </w:r>
      <w:r>
        <w:t xml:space="preserve"> between the different zonal and regional </w:t>
      </w:r>
      <w:r w:rsidR="00710C8E">
        <w:t xml:space="preserve">consultation </w:t>
      </w:r>
      <w:r>
        <w:t xml:space="preserve">workshops a standardized agenda </w:t>
      </w:r>
      <w:r w:rsidR="00710C8E">
        <w:t>and methodology is made available to all workshops. The agenda and methodology are further described below.</w:t>
      </w:r>
      <w:r w:rsidR="002B7C8A">
        <w:t xml:space="preserve"> </w:t>
      </w:r>
    </w:p>
    <w:p w:rsidR="00D265E2" w:rsidRDefault="00D265E2">
      <w:pPr>
        <w:pStyle w:val="Heading2"/>
      </w:pPr>
    </w:p>
    <w:p w:rsidR="00710C8E" w:rsidRDefault="00BB4D58" w:rsidP="00710C8E">
      <w:pPr>
        <w:pStyle w:val="Heading2"/>
        <w:numPr>
          <w:ilvl w:val="1"/>
          <w:numId w:val="15"/>
        </w:numPr>
      </w:pPr>
      <w:bookmarkStart w:id="9" w:name="_Toc319944312"/>
      <w:r>
        <w:t>Metho</w:t>
      </w:r>
      <w:r w:rsidR="006842CB">
        <w:t>dology</w:t>
      </w:r>
      <w:bookmarkEnd w:id="9"/>
    </w:p>
    <w:p w:rsidR="005552DC" w:rsidRDefault="004E52CF" w:rsidP="0061552F">
      <w:pPr>
        <w:jc w:val="both"/>
        <w:rPr>
          <w:lang w:eastAsia="en-GB"/>
        </w:rPr>
      </w:pPr>
      <w:r>
        <w:rPr>
          <w:lang w:eastAsia="en-GB"/>
        </w:rPr>
        <w:t>T</w:t>
      </w:r>
      <w:r w:rsidR="0061552F">
        <w:rPr>
          <w:lang w:eastAsia="en-GB"/>
        </w:rPr>
        <w:t xml:space="preserve">he </w:t>
      </w:r>
      <w:r>
        <w:rPr>
          <w:lang w:eastAsia="en-GB"/>
        </w:rPr>
        <w:t xml:space="preserve">consultation </w:t>
      </w:r>
      <w:r w:rsidR="0061552F">
        <w:rPr>
          <w:lang w:eastAsia="en-GB"/>
        </w:rPr>
        <w:t>workshops are not planned to be drafting sessions where final text for the revised P&amp;R is formulated. Rather, specific parts of the P&amp;R or topics relevant to the P&amp;R are discussed and where possible common positions are sought. In</w:t>
      </w:r>
      <w:r>
        <w:rPr>
          <w:lang w:eastAsia="en-GB"/>
        </w:rPr>
        <w:t xml:space="preserve"> practice this means facilitated</w:t>
      </w:r>
      <w:r w:rsidR="0061552F">
        <w:rPr>
          <w:lang w:eastAsia="en-GB"/>
        </w:rPr>
        <w:t xml:space="preserve"> plenary </w:t>
      </w:r>
      <w:r w:rsidR="00FF1784">
        <w:rPr>
          <w:lang w:eastAsia="en-GB"/>
        </w:rPr>
        <w:t>discussion</w:t>
      </w:r>
      <w:r w:rsidR="0061552F">
        <w:rPr>
          <w:lang w:eastAsia="en-GB"/>
        </w:rPr>
        <w:t>s as well as group working sessions.</w:t>
      </w:r>
    </w:p>
    <w:p w:rsidR="00891777" w:rsidRDefault="00891777" w:rsidP="0061552F">
      <w:pPr>
        <w:jc w:val="both"/>
        <w:rPr>
          <w:lang w:eastAsia="en-GB"/>
        </w:rPr>
      </w:pPr>
    </w:p>
    <w:p w:rsidR="00D265E2" w:rsidRDefault="00891777">
      <w:pPr>
        <w:pStyle w:val="Heading2"/>
        <w:numPr>
          <w:ilvl w:val="1"/>
          <w:numId w:val="15"/>
        </w:numPr>
      </w:pPr>
      <w:r>
        <w:t xml:space="preserve"> </w:t>
      </w:r>
      <w:bookmarkStart w:id="10" w:name="_Toc319944273"/>
      <w:bookmarkStart w:id="11" w:name="_Toc319944313"/>
      <w:bookmarkStart w:id="12" w:name="_Toc319944314"/>
      <w:bookmarkEnd w:id="10"/>
      <w:bookmarkEnd w:id="11"/>
      <w:r w:rsidR="00B80BAB">
        <w:t>DCMAB members’ role</w:t>
      </w:r>
      <w:bookmarkEnd w:id="12"/>
    </w:p>
    <w:p w:rsidR="00C46365" w:rsidRPr="0061552F" w:rsidRDefault="00C46365" w:rsidP="00616E36">
      <w:pPr>
        <w:jc w:val="both"/>
        <w:rPr>
          <w:lang w:eastAsia="en-GB"/>
        </w:rPr>
      </w:pPr>
      <w:r w:rsidRPr="0061552F">
        <w:rPr>
          <w:lang w:eastAsia="en-GB"/>
        </w:rPr>
        <w:t>The Disaster and Crises Management Advisory Body will have an important oversight role in the consultation and revision process. They will function as a steering group for the consultations as well as senior reviewers of the revised text (e.g. ensuring that NS feedback is properly addressed). The individual DCMAB members will be “champions” o</w:t>
      </w:r>
      <w:r w:rsidR="00FF1784">
        <w:rPr>
          <w:lang w:eastAsia="en-GB"/>
        </w:rPr>
        <w:t>f the consultation</w:t>
      </w:r>
      <w:r w:rsidRPr="0061552F">
        <w:rPr>
          <w:lang w:eastAsia="en-GB"/>
        </w:rPr>
        <w:t xml:space="preserve"> process in their respective regions. This “champion” role will include facilitating consultations and liaising with National Societies. </w:t>
      </w:r>
    </w:p>
    <w:p w:rsidR="00C46365" w:rsidRDefault="008C18E3" w:rsidP="00616E36">
      <w:pPr>
        <w:jc w:val="both"/>
        <w:rPr>
          <w:lang w:eastAsia="en-GB"/>
        </w:rPr>
      </w:pPr>
      <w:r>
        <w:rPr>
          <w:lang w:eastAsia="en-GB"/>
        </w:rPr>
        <w:t xml:space="preserve">The DCMAB members will serve as co-facilitators and/or as resource persons at the National Society consultation workshops in their respective regions. The members will also be communication focal points in their regions and ensure that National Society leadership is well informed about a) purpose of the P&amp;R consultation and revision b) the opportunities to participate in the consultations c) progress of the revision. Further information on the </w:t>
      </w:r>
      <w:r w:rsidR="00616E36">
        <w:rPr>
          <w:lang w:eastAsia="en-GB"/>
        </w:rPr>
        <w:t xml:space="preserve">communication plan for the P&amp;R consultation and revision </w:t>
      </w:r>
      <w:r w:rsidR="00FF1784">
        <w:rPr>
          <w:lang w:eastAsia="en-GB"/>
        </w:rPr>
        <w:t xml:space="preserve">project </w:t>
      </w:r>
      <w:r w:rsidR="00616E36">
        <w:rPr>
          <w:lang w:eastAsia="en-GB"/>
        </w:rPr>
        <w:t xml:space="preserve">can be found under </w:t>
      </w:r>
      <w:r w:rsidR="00616E36" w:rsidRPr="009C2F80">
        <w:rPr>
          <w:lang w:eastAsia="en-GB"/>
        </w:rPr>
        <w:t>section 8.</w:t>
      </w:r>
    </w:p>
    <w:p w:rsidR="008C18E3" w:rsidRDefault="008C18E3" w:rsidP="00C46365">
      <w:pPr>
        <w:rPr>
          <w:lang w:eastAsia="en-GB"/>
        </w:rPr>
      </w:pPr>
    </w:p>
    <w:p w:rsidR="0049752D" w:rsidRPr="00FF1784" w:rsidRDefault="002A192F" w:rsidP="0049752D">
      <w:pPr>
        <w:pStyle w:val="Heading2"/>
        <w:numPr>
          <w:ilvl w:val="1"/>
          <w:numId w:val="15"/>
        </w:numPr>
        <w:rPr>
          <w:lang w:val="fr-CH"/>
        </w:rPr>
      </w:pPr>
      <w:bookmarkStart w:id="13" w:name="_Toc319944315"/>
      <w:r>
        <w:t>Secretariat role</w:t>
      </w:r>
      <w:bookmarkEnd w:id="13"/>
    </w:p>
    <w:p w:rsidR="00891777" w:rsidRDefault="00796330" w:rsidP="0061552F">
      <w:pPr>
        <w:jc w:val="both"/>
        <w:rPr>
          <w:lang w:eastAsia="en-GB"/>
        </w:rPr>
      </w:pPr>
      <w:r>
        <w:rPr>
          <w:lang w:eastAsia="en-GB"/>
        </w:rPr>
        <w:t>The IFRC Secretariat in Geneva and in the Zones will be responsible for practical arrangements, developing the agenda and co-facilitating the National Society consultations.</w:t>
      </w:r>
      <w:r w:rsidR="006269C7">
        <w:rPr>
          <w:lang w:eastAsia="en-GB"/>
        </w:rPr>
        <w:t xml:space="preserve"> </w:t>
      </w:r>
      <w:r w:rsidR="00891777">
        <w:rPr>
          <w:lang w:eastAsia="en-GB"/>
        </w:rPr>
        <w:t>Where Zones are unable to provide an appropriate co-facilitation, the Geneva secretariat will provide a resource person.</w:t>
      </w:r>
      <w:r w:rsidR="00B52AB1">
        <w:rPr>
          <w:lang w:eastAsia="en-GB"/>
        </w:rPr>
        <w:t xml:space="preserve"> </w:t>
      </w:r>
    </w:p>
    <w:p w:rsidR="007E00D0" w:rsidRDefault="007E00D0" w:rsidP="0061552F">
      <w:pPr>
        <w:jc w:val="both"/>
        <w:rPr>
          <w:lang w:eastAsia="en-GB"/>
        </w:rPr>
      </w:pPr>
    </w:p>
    <w:p w:rsidR="009C2F80" w:rsidRDefault="009C2F80">
      <w:pPr>
        <w:pStyle w:val="Heading2"/>
        <w:numPr>
          <w:ilvl w:val="1"/>
          <w:numId w:val="15"/>
        </w:numPr>
      </w:pPr>
      <w:r>
        <w:br w:type="page"/>
      </w:r>
      <w:r w:rsidR="00891777">
        <w:t xml:space="preserve"> </w:t>
      </w:r>
      <w:bookmarkStart w:id="14" w:name="_Toc319944316"/>
      <w:r w:rsidR="00285D4B" w:rsidRPr="00285D4B">
        <w:t>Agenda</w:t>
      </w:r>
      <w:bookmarkEnd w:id="14"/>
    </w:p>
    <w:p w:rsidR="00D265E2" w:rsidRDefault="009C2F80" w:rsidP="009C2F80">
      <w:r>
        <w:t xml:space="preserve">The below agenda outlines the main content and objectives of the National Society consultation workshops. </w:t>
      </w:r>
      <w:r w:rsidR="00285D4B" w:rsidRPr="00285D4B">
        <w:t xml:space="preserve"> </w:t>
      </w:r>
      <w:r w:rsidR="002F5B69">
        <w:t xml:space="preserve">More detailed programme and documentation will be developed for each workshop. </w:t>
      </w:r>
    </w:p>
    <w:p w:rsidR="002F5B69" w:rsidRDefault="002F5B69" w:rsidP="009C2F8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4394"/>
        <w:gridCol w:w="3510"/>
      </w:tblGrid>
      <w:tr w:rsidR="00891777" w:rsidRPr="00A07050" w:rsidTr="00891777">
        <w:tc>
          <w:tcPr>
            <w:tcW w:w="1384" w:type="dxa"/>
            <w:shd w:val="clear" w:color="auto" w:fill="00B050"/>
          </w:tcPr>
          <w:p w:rsidR="00891777" w:rsidRPr="00AA1634" w:rsidRDefault="00891777" w:rsidP="00891777">
            <w:pPr>
              <w:jc w:val="center"/>
              <w:rPr>
                <w:sz w:val="26"/>
                <w:szCs w:val="26"/>
                <w:u w:val="single"/>
              </w:rPr>
            </w:pPr>
          </w:p>
        </w:tc>
        <w:tc>
          <w:tcPr>
            <w:tcW w:w="4394" w:type="dxa"/>
            <w:shd w:val="clear" w:color="auto" w:fill="00B050"/>
          </w:tcPr>
          <w:p w:rsidR="00891777" w:rsidRPr="00A07050" w:rsidRDefault="00891777" w:rsidP="00891777">
            <w:pPr>
              <w:jc w:val="center"/>
              <w:rPr>
                <w:b/>
              </w:rPr>
            </w:pPr>
          </w:p>
        </w:tc>
        <w:tc>
          <w:tcPr>
            <w:tcW w:w="3510" w:type="dxa"/>
            <w:shd w:val="clear" w:color="auto" w:fill="00B050"/>
          </w:tcPr>
          <w:p w:rsidR="00891777" w:rsidRPr="00A07050" w:rsidRDefault="00891777" w:rsidP="00891777">
            <w:pPr>
              <w:jc w:val="center"/>
              <w:rPr>
                <w:b/>
              </w:rPr>
            </w:pPr>
            <w:r w:rsidRPr="00A07050">
              <w:rPr>
                <w:b/>
              </w:rPr>
              <w:t>Objective of the session</w:t>
            </w:r>
          </w:p>
        </w:tc>
      </w:tr>
      <w:tr w:rsidR="00891777" w:rsidRPr="00EE6CF5" w:rsidTr="00891777">
        <w:tc>
          <w:tcPr>
            <w:tcW w:w="1384" w:type="dxa"/>
            <w:tcBorders>
              <w:bottom w:val="single" w:sz="4" w:space="0" w:color="000000"/>
            </w:tcBorders>
          </w:tcPr>
          <w:p w:rsidR="00891777" w:rsidRPr="001D04AE" w:rsidRDefault="00891777" w:rsidP="00891777">
            <w:pPr>
              <w:rPr>
                <w:rFonts w:asciiTheme="minorHAnsi" w:hAnsiTheme="minorHAnsi"/>
                <w:sz w:val="20"/>
                <w:szCs w:val="20"/>
              </w:rPr>
            </w:pPr>
            <w:r>
              <w:rPr>
                <w:rFonts w:asciiTheme="minorHAnsi" w:hAnsiTheme="minorHAnsi"/>
                <w:sz w:val="20"/>
                <w:szCs w:val="20"/>
              </w:rPr>
              <w:t xml:space="preserve">9.00 - </w:t>
            </w:r>
            <w:r w:rsidRPr="001D04AE">
              <w:rPr>
                <w:rFonts w:asciiTheme="minorHAnsi" w:hAnsiTheme="minorHAnsi"/>
                <w:sz w:val="20"/>
                <w:szCs w:val="20"/>
              </w:rPr>
              <w:t xml:space="preserve">10.30  </w:t>
            </w:r>
          </w:p>
          <w:p w:rsidR="00891777" w:rsidRPr="001D04AE" w:rsidRDefault="00891777" w:rsidP="00891777">
            <w:pPr>
              <w:rPr>
                <w:rFonts w:asciiTheme="minorHAnsi" w:hAnsiTheme="minorHAnsi"/>
                <w:sz w:val="20"/>
                <w:szCs w:val="20"/>
                <w:u w:val="single"/>
              </w:rPr>
            </w:pPr>
          </w:p>
        </w:tc>
        <w:tc>
          <w:tcPr>
            <w:tcW w:w="4394" w:type="dxa"/>
            <w:tcBorders>
              <w:bottom w:val="single" w:sz="4" w:space="0" w:color="000000"/>
            </w:tcBorders>
          </w:tcPr>
          <w:p w:rsidR="00891777" w:rsidRPr="00EE6CF5" w:rsidRDefault="00891777" w:rsidP="00891777">
            <w:pPr>
              <w:pStyle w:val="ListParagraph"/>
              <w:numPr>
                <w:ilvl w:val="0"/>
                <w:numId w:val="16"/>
              </w:numPr>
              <w:rPr>
                <w:rFonts w:eastAsiaTheme="minorHAnsi"/>
                <w:sz w:val="20"/>
                <w:szCs w:val="20"/>
              </w:rPr>
            </w:pPr>
            <w:r w:rsidRPr="00EE6CF5">
              <w:rPr>
                <w:rFonts w:eastAsiaTheme="minorHAnsi"/>
                <w:sz w:val="20"/>
                <w:szCs w:val="20"/>
              </w:rPr>
              <w:t>Welcome &amp; Introductions</w:t>
            </w:r>
          </w:p>
          <w:p w:rsidR="00891777" w:rsidRPr="00EE6CF5" w:rsidRDefault="00891777" w:rsidP="00891777">
            <w:pPr>
              <w:pStyle w:val="ListParagraph"/>
              <w:ind w:left="501"/>
              <w:rPr>
                <w:rFonts w:eastAsiaTheme="minorHAnsi"/>
                <w:sz w:val="20"/>
                <w:szCs w:val="20"/>
              </w:rPr>
            </w:pPr>
          </w:p>
          <w:p w:rsidR="00891777" w:rsidRPr="00EE6CF5" w:rsidRDefault="00891777" w:rsidP="00891777">
            <w:pPr>
              <w:pStyle w:val="ListParagraph"/>
              <w:numPr>
                <w:ilvl w:val="0"/>
                <w:numId w:val="16"/>
              </w:numPr>
              <w:rPr>
                <w:rFonts w:eastAsiaTheme="minorHAnsi"/>
                <w:sz w:val="20"/>
                <w:szCs w:val="20"/>
              </w:rPr>
            </w:pPr>
            <w:r w:rsidRPr="00EE6CF5">
              <w:rPr>
                <w:rFonts w:eastAsiaTheme="minorHAnsi"/>
                <w:sz w:val="20"/>
                <w:szCs w:val="20"/>
              </w:rPr>
              <w:t>Brief presentation on the Principles and Rules of Disaster Relief and the consultation and revision process</w:t>
            </w:r>
            <w:r>
              <w:rPr>
                <w:rFonts w:eastAsiaTheme="minorHAnsi"/>
                <w:sz w:val="20"/>
                <w:szCs w:val="20"/>
              </w:rPr>
              <w:t>. Includes a reflection on main changes affecting the P&amp;R.</w:t>
            </w:r>
          </w:p>
          <w:p w:rsidR="00891777" w:rsidRPr="00421646" w:rsidRDefault="00891777" w:rsidP="00891777">
            <w:pPr>
              <w:rPr>
                <w:sz w:val="20"/>
                <w:szCs w:val="20"/>
              </w:rPr>
            </w:pPr>
          </w:p>
          <w:p w:rsidR="00891777" w:rsidRPr="00EE6CF5" w:rsidRDefault="00891777" w:rsidP="00891777">
            <w:pPr>
              <w:pStyle w:val="ListParagraph"/>
              <w:numPr>
                <w:ilvl w:val="0"/>
                <w:numId w:val="16"/>
              </w:numPr>
              <w:rPr>
                <w:rFonts w:eastAsiaTheme="minorHAnsi"/>
                <w:sz w:val="20"/>
                <w:szCs w:val="20"/>
              </w:rPr>
            </w:pPr>
            <w:r w:rsidRPr="00EE6CF5">
              <w:rPr>
                <w:rFonts w:asciiTheme="minorHAnsi" w:eastAsiaTheme="minorHAnsi" w:hAnsiTheme="minorHAnsi"/>
                <w:sz w:val="20"/>
                <w:szCs w:val="20"/>
              </w:rPr>
              <w:t xml:space="preserve">P&amp;R extension to early recovery </w:t>
            </w:r>
          </w:p>
        </w:tc>
        <w:tc>
          <w:tcPr>
            <w:tcW w:w="3510" w:type="dxa"/>
            <w:tcBorders>
              <w:bottom w:val="single" w:sz="4" w:space="0" w:color="000000"/>
            </w:tcBorders>
          </w:tcPr>
          <w:p w:rsidR="00891777" w:rsidRDefault="00891777" w:rsidP="00891777">
            <w:pPr>
              <w:pStyle w:val="ListParagraph"/>
              <w:numPr>
                <w:ilvl w:val="0"/>
                <w:numId w:val="16"/>
              </w:numPr>
              <w:rPr>
                <w:rFonts w:eastAsiaTheme="minorHAnsi"/>
                <w:sz w:val="20"/>
                <w:szCs w:val="20"/>
              </w:rPr>
            </w:pPr>
            <w:r w:rsidRPr="00EE6CF5">
              <w:rPr>
                <w:rFonts w:eastAsiaTheme="minorHAnsi"/>
                <w:sz w:val="20"/>
                <w:szCs w:val="20"/>
              </w:rPr>
              <w:t>Establish a common understanding on the purpose of the P&amp;R and the process to revise them</w:t>
            </w:r>
          </w:p>
          <w:p w:rsidR="00891777" w:rsidRPr="00EE6CF5" w:rsidRDefault="00891777" w:rsidP="00891777">
            <w:pPr>
              <w:pStyle w:val="ListParagraph"/>
              <w:ind w:left="501"/>
              <w:rPr>
                <w:rFonts w:eastAsiaTheme="minorHAnsi"/>
                <w:sz w:val="20"/>
                <w:szCs w:val="20"/>
              </w:rPr>
            </w:pPr>
          </w:p>
          <w:p w:rsidR="00891777" w:rsidRPr="00EE6CF5" w:rsidRDefault="00891777" w:rsidP="00891777">
            <w:pPr>
              <w:pStyle w:val="ListParagraph"/>
              <w:numPr>
                <w:ilvl w:val="0"/>
                <w:numId w:val="16"/>
              </w:numPr>
              <w:rPr>
                <w:rFonts w:eastAsiaTheme="minorHAnsi"/>
                <w:sz w:val="20"/>
                <w:szCs w:val="20"/>
              </w:rPr>
            </w:pPr>
            <w:r>
              <w:rPr>
                <w:rFonts w:asciiTheme="minorHAnsi" w:eastAsiaTheme="minorHAnsi" w:hAnsiTheme="minorHAnsi"/>
                <w:sz w:val="20"/>
                <w:szCs w:val="20"/>
              </w:rPr>
              <w:t>Receive feedback on to what extent</w:t>
            </w:r>
            <w:r w:rsidRPr="00EE6CF5">
              <w:rPr>
                <w:rFonts w:asciiTheme="minorHAnsi" w:eastAsiaTheme="minorHAnsi" w:hAnsiTheme="minorHAnsi"/>
                <w:sz w:val="20"/>
                <w:szCs w:val="20"/>
              </w:rPr>
              <w:t xml:space="preserve"> recovery should be included in the</w:t>
            </w:r>
            <w:r>
              <w:rPr>
                <w:rFonts w:asciiTheme="minorHAnsi" w:eastAsiaTheme="minorHAnsi" w:hAnsiTheme="minorHAnsi"/>
                <w:sz w:val="20"/>
                <w:szCs w:val="20"/>
              </w:rPr>
              <w:t xml:space="preserve"> P&amp;R and how to best link it with </w:t>
            </w:r>
            <w:r w:rsidRPr="00EE6CF5">
              <w:rPr>
                <w:rFonts w:asciiTheme="minorHAnsi" w:eastAsiaTheme="minorHAnsi" w:hAnsiTheme="minorHAnsi"/>
                <w:sz w:val="20"/>
                <w:szCs w:val="20"/>
              </w:rPr>
              <w:t>relief</w:t>
            </w:r>
            <w:r>
              <w:rPr>
                <w:rFonts w:asciiTheme="minorHAnsi" w:eastAsiaTheme="minorHAnsi" w:hAnsiTheme="minorHAnsi"/>
                <w:sz w:val="20"/>
                <w:szCs w:val="20"/>
              </w:rPr>
              <w:t xml:space="preserve"> (transition from relief to recovery)</w:t>
            </w:r>
          </w:p>
        </w:tc>
      </w:tr>
      <w:tr w:rsidR="00891777" w:rsidRPr="00860AB8" w:rsidTr="00891777">
        <w:tc>
          <w:tcPr>
            <w:tcW w:w="1384" w:type="dxa"/>
            <w:shd w:val="pct10" w:color="auto" w:fill="auto"/>
          </w:tcPr>
          <w:p w:rsidR="00891777" w:rsidRPr="001D04AE" w:rsidRDefault="00891777" w:rsidP="00891777">
            <w:pPr>
              <w:rPr>
                <w:rFonts w:asciiTheme="minorHAnsi" w:hAnsiTheme="minorHAnsi"/>
                <w:sz w:val="20"/>
                <w:szCs w:val="20"/>
              </w:rPr>
            </w:pPr>
            <w:r>
              <w:rPr>
                <w:rFonts w:asciiTheme="minorHAnsi" w:hAnsiTheme="minorHAnsi"/>
                <w:sz w:val="20"/>
                <w:szCs w:val="20"/>
              </w:rPr>
              <w:t xml:space="preserve">10.30 - </w:t>
            </w:r>
            <w:r w:rsidRPr="001D04AE">
              <w:rPr>
                <w:rFonts w:asciiTheme="minorHAnsi" w:hAnsiTheme="minorHAnsi"/>
                <w:sz w:val="20"/>
                <w:szCs w:val="20"/>
              </w:rPr>
              <w:t>11.00</w:t>
            </w:r>
          </w:p>
        </w:tc>
        <w:tc>
          <w:tcPr>
            <w:tcW w:w="7904" w:type="dxa"/>
            <w:gridSpan w:val="2"/>
            <w:shd w:val="pct10" w:color="auto" w:fill="auto"/>
          </w:tcPr>
          <w:p w:rsidR="00891777" w:rsidRPr="00860AB8" w:rsidRDefault="00891777" w:rsidP="00891777">
            <w:pPr>
              <w:jc w:val="center"/>
              <w:rPr>
                <w:rFonts w:asciiTheme="minorHAnsi" w:hAnsiTheme="minorHAnsi"/>
                <w:sz w:val="20"/>
                <w:szCs w:val="20"/>
                <w:u w:val="single"/>
              </w:rPr>
            </w:pPr>
            <w:r w:rsidRPr="00860AB8">
              <w:rPr>
                <w:rFonts w:asciiTheme="minorHAnsi" w:hAnsiTheme="minorHAnsi"/>
                <w:sz w:val="20"/>
                <w:szCs w:val="20"/>
              </w:rPr>
              <w:t>Tea/coffee break</w:t>
            </w:r>
          </w:p>
        </w:tc>
      </w:tr>
      <w:tr w:rsidR="00891777" w:rsidRPr="00EE6CF5" w:rsidTr="00891777">
        <w:tc>
          <w:tcPr>
            <w:tcW w:w="1384" w:type="dxa"/>
            <w:tcBorders>
              <w:bottom w:val="single" w:sz="4" w:space="0" w:color="000000"/>
            </w:tcBorders>
          </w:tcPr>
          <w:p w:rsidR="00891777" w:rsidRPr="001D04AE" w:rsidRDefault="00891777" w:rsidP="00891777">
            <w:pPr>
              <w:rPr>
                <w:rFonts w:asciiTheme="minorHAnsi" w:hAnsiTheme="minorHAnsi"/>
                <w:sz w:val="20"/>
                <w:szCs w:val="20"/>
              </w:rPr>
            </w:pPr>
            <w:r>
              <w:rPr>
                <w:rFonts w:asciiTheme="minorHAnsi" w:hAnsiTheme="minorHAnsi"/>
                <w:sz w:val="20"/>
                <w:szCs w:val="20"/>
              </w:rPr>
              <w:t>11.00 -</w:t>
            </w:r>
            <w:r w:rsidRPr="001D04AE">
              <w:rPr>
                <w:rFonts w:asciiTheme="minorHAnsi" w:hAnsiTheme="minorHAnsi"/>
                <w:sz w:val="20"/>
                <w:szCs w:val="20"/>
              </w:rPr>
              <w:t xml:space="preserve"> 12.30</w:t>
            </w:r>
          </w:p>
          <w:p w:rsidR="00891777" w:rsidRPr="001D04AE" w:rsidRDefault="00891777" w:rsidP="00891777">
            <w:pPr>
              <w:rPr>
                <w:rFonts w:asciiTheme="minorHAnsi" w:hAnsiTheme="minorHAnsi"/>
                <w:sz w:val="20"/>
                <w:szCs w:val="20"/>
                <w:u w:val="single"/>
              </w:rPr>
            </w:pPr>
          </w:p>
        </w:tc>
        <w:tc>
          <w:tcPr>
            <w:tcW w:w="4394" w:type="dxa"/>
            <w:tcBorders>
              <w:bottom w:val="single" w:sz="4" w:space="0" w:color="000000"/>
            </w:tcBorders>
          </w:tcPr>
          <w:p w:rsidR="00891777" w:rsidRPr="00EE6CF5" w:rsidRDefault="00D265E2" w:rsidP="00891777">
            <w:pPr>
              <w:pStyle w:val="ListParagraph"/>
              <w:numPr>
                <w:ilvl w:val="0"/>
                <w:numId w:val="17"/>
              </w:numPr>
              <w:contextualSpacing/>
              <w:rPr>
                <w:rFonts w:asciiTheme="minorHAnsi" w:eastAsiaTheme="minorHAnsi" w:hAnsiTheme="minorHAnsi"/>
                <w:sz w:val="20"/>
                <w:szCs w:val="20"/>
              </w:rPr>
            </w:pPr>
            <w:r>
              <w:rPr>
                <w:rFonts w:asciiTheme="minorHAnsi" w:eastAsiaTheme="minorHAnsi" w:hAnsiTheme="minorHAnsi"/>
                <w:sz w:val="20"/>
                <w:szCs w:val="20"/>
              </w:rPr>
              <w:t>International disaster response</w:t>
            </w:r>
            <w:r w:rsidR="00891777" w:rsidRPr="00EE6CF5">
              <w:rPr>
                <w:rFonts w:asciiTheme="minorHAnsi" w:eastAsiaTheme="minorHAnsi" w:hAnsiTheme="minorHAnsi"/>
                <w:sz w:val="20"/>
                <w:szCs w:val="20"/>
              </w:rPr>
              <w:t xml:space="preserve">, new operational modalities and changing roles </w:t>
            </w:r>
            <w:r w:rsidR="00891777">
              <w:rPr>
                <w:rFonts w:asciiTheme="minorHAnsi" w:eastAsiaTheme="minorHAnsi" w:hAnsiTheme="minorHAnsi"/>
                <w:sz w:val="20"/>
                <w:szCs w:val="20"/>
              </w:rPr>
              <w:t xml:space="preserve">and responsibilities </w:t>
            </w:r>
            <w:r w:rsidR="00891777" w:rsidRPr="00EE6CF5">
              <w:rPr>
                <w:rFonts w:asciiTheme="minorHAnsi" w:eastAsiaTheme="minorHAnsi" w:hAnsiTheme="minorHAnsi"/>
                <w:sz w:val="20"/>
                <w:szCs w:val="20"/>
              </w:rPr>
              <w:t xml:space="preserve">of NS </w:t>
            </w:r>
            <w:r>
              <w:rPr>
                <w:rFonts w:asciiTheme="minorHAnsi" w:eastAsiaTheme="minorHAnsi" w:hAnsiTheme="minorHAnsi"/>
                <w:sz w:val="20"/>
                <w:szCs w:val="20"/>
              </w:rPr>
              <w:t>– implications for the P&amp;R</w:t>
            </w:r>
          </w:p>
          <w:p w:rsidR="00891777" w:rsidRDefault="00891777" w:rsidP="00891777">
            <w:pPr>
              <w:pStyle w:val="ListParagraph"/>
              <w:ind w:left="141"/>
              <w:rPr>
                <w:rFonts w:asciiTheme="minorHAnsi" w:eastAsiaTheme="minorHAnsi" w:hAnsiTheme="minorHAnsi"/>
                <w:sz w:val="20"/>
                <w:szCs w:val="20"/>
              </w:rPr>
            </w:pPr>
          </w:p>
        </w:tc>
        <w:tc>
          <w:tcPr>
            <w:tcW w:w="3510" w:type="dxa"/>
            <w:tcBorders>
              <w:bottom w:val="single" w:sz="4" w:space="0" w:color="000000"/>
            </w:tcBorders>
          </w:tcPr>
          <w:p w:rsidR="00891777" w:rsidRPr="00EE6CF5" w:rsidRDefault="00891777" w:rsidP="00891777">
            <w:pPr>
              <w:pStyle w:val="ListParagraph"/>
              <w:numPr>
                <w:ilvl w:val="0"/>
                <w:numId w:val="17"/>
              </w:numPr>
              <w:contextualSpacing/>
              <w:rPr>
                <w:rFonts w:asciiTheme="minorHAnsi" w:eastAsiaTheme="minorHAnsi" w:hAnsiTheme="minorHAnsi"/>
                <w:sz w:val="20"/>
                <w:szCs w:val="20"/>
              </w:rPr>
            </w:pPr>
            <w:r w:rsidRPr="00EE6CF5">
              <w:rPr>
                <w:rFonts w:asciiTheme="minorHAnsi" w:eastAsiaTheme="minorHAnsi" w:hAnsiTheme="minorHAnsi"/>
                <w:sz w:val="20"/>
                <w:szCs w:val="20"/>
              </w:rPr>
              <w:t>Receive feedback  on if the modalities described in the P&amp;R are still relevant and if the described roles and responsibilities are correct</w:t>
            </w:r>
          </w:p>
          <w:p w:rsidR="00891777" w:rsidRPr="00EE6CF5" w:rsidRDefault="00891777" w:rsidP="00891777">
            <w:pPr>
              <w:pStyle w:val="ListParagraph"/>
              <w:numPr>
                <w:ilvl w:val="0"/>
                <w:numId w:val="17"/>
              </w:numPr>
              <w:contextualSpacing/>
              <w:rPr>
                <w:rFonts w:asciiTheme="minorHAnsi" w:eastAsiaTheme="minorHAnsi" w:hAnsiTheme="minorHAnsi"/>
                <w:sz w:val="20"/>
                <w:szCs w:val="20"/>
              </w:rPr>
            </w:pPr>
            <w:r w:rsidRPr="00EE6CF5">
              <w:rPr>
                <w:rFonts w:asciiTheme="minorHAnsi" w:eastAsiaTheme="minorHAnsi" w:hAnsiTheme="minorHAnsi"/>
                <w:sz w:val="20"/>
                <w:szCs w:val="20"/>
              </w:rPr>
              <w:t>Receive inputs on what possible changes would be required</w:t>
            </w:r>
            <w:r w:rsidDel="007E00D0">
              <w:rPr>
                <w:rFonts w:asciiTheme="minorHAnsi" w:eastAsiaTheme="minorHAnsi" w:hAnsiTheme="minorHAnsi"/>
                <w:sz w:val="20"/>
                <w:szCs w:val="20"/>
              </w:rPr>
              <w:t xml:space="preserve"> </w:t>
            </w:r>
          </w:p>
        </w:tc>
      </w:tr>
      <w:tr w:rsidR="00891777" w:rsidRPr="00860AB8" w:rsidTr="00891777">
        <w:tc>
          <w:tcPr>
            <w:tcW w:w="1384" w:type="dxa"/>
            <w:shd w:val="pct10" w:color="auto" w:fill="auto"/>
          </w:tcPr>
          <w:p w:rsidR="00891777" w:rsidRPr="001D04AE" w:rsidRDefault="00891777" w:rsidP="00891777">
            <w:pPr>
              <w:rPr>
                <w:rFonts w:asciiTheme="minorHAnsi" w:hAnsiTheme="minorHAnsi"/>
                <w:sz w:val="20"/>
                <w:szCs w:val="20"/>
                <w:u w:val="single"/>
              </w:rPr>
            </w:pPr>
            <w:r>
              <w:rPr>
                <w:rFonts w:asciiTheme="minorHAnsi" w:hAnsiTheme="minorHAnsi"/>
                <w:sz w:val="20"/>
                <w:szCs w:val="20"/>
              </w:rPr>
              <w:t>12.30 -</w:t>
            </w:r>
            <w:r w:rsidRPr="001D04AE">
              <w:rPr>
                <w:rFonts w:asciiTheme="minorHAnsi" w:hAnsiTheme="minorHAnsi"/>
                <w:sz w:val="20"/>
                <w:szCs w:val="20"/>
              </w:rPr>
              <w:t xml:space="preserve"> 14.00</w:t>
            </w:r>
          </w:p>
        </w:tc>
        <w:tc>
          <w:tcPr>
            <w:tcW w:w="7904" w:type="dxa"/>
            <w:gridSpan w:val="2"/>
            <w:shd w:val="pct10" w:color="auto" w:fill="auto"/>
          </w:tcPr>
          <w:p w:rsidR="00891777" w:rsidRPr="00860AB8" w:rsidRDefault="00891777" w:rsidP="00891777">
            <w:pPr>
              <w:jc w:val="center"/>
              <w:rPr>
                <w:rFonts w:asciiTheme="minorHAnsi" w:hAnsiTheme="minorHAnsi"/>
                <w:sz w:val="20"/>
                <w:szCs w:val="20"/>
                <w:u w:val="single"/>
              </w:rPr>
            </w:pPr>
            <w:r w:rsidRPr="00860AB8">
              <w:rPr>
                <w:rFonts w:asciiTheme="minorHAnsi" w:hAnsiTheme="minorHAnsi"/>
                <w:sz w:val="20"/>
                <w:szCs w:val="20"/>
              </w:rPr>
              <w:t>Lunch</w:t>
            </w:r>
          </w:p>
        </w:tc>
      </w:tr>
      <w:tr w:rsidR="00891777" w:rsidRPr="00EE6CF5" w:rsidTr="00891777">
        <w:tc>
          <w:tcPr>
            <w:tcW w:w="1384" w:type="dxa"/>
            <w:tcBorders>
              <w:bottom w:val="single" w:sz="4" w:space="0" w:color="000000"/>
            </w:tcBorders>
          </w:tcPr>
          <w:p w:rsidR="00891777" w:rsidRPr="001D04AE" w:rsidRDefault="00891777" w:rsidP="00891777">
            <w:pPr>
              <w:rPr>
                <w:rFonts w:asciiTheme="minorHAnsi" w:hAnsiTheme="minorHAnsi"/>
                <w:sz w:val="20"/>
                <w:szCs w:val="20"/>
                <w:u w:val="single"/>
              </w:rPr>
            </w:pPr>
            <w:r w:rsidRPr="001D04AE">
              <w:rPr>
                <w:rFonts w:asciiTheme="minorHAnsi" w:hAnsiTheme="minorHAnsi"/>
                <w:sz w:val="20"/>
                <w:szCs w:val="20"/>
              </w:rPr>
              <w:t>1</w:t>
            </w:r>
            <w:r>
              <w:rPr>
                <w:rFonts w:asciiTheme="minorHAnsi" w:hAnsiTheme="minorHAnsi"/>
                <w:sz w:val="20"/>
                <w:szCs w:val="20"/>
              </w:rPr>
              <w:t xml:space="preserve">4.00 - </w:t>
            </w:r>
            <w:r w:rsidRPr="001D04AE">
              <w:rPr>
                <w:rFonts w:asciiTheme="minorHAnsi" w:hAnsiTheme="minorHAnsi"/>
                <w:sz w:val="20"/>
                <w:szCs w:val="20"/>
              </w:rPr>
              <w:t>15.30</w:t>
            </w:r>
          </w:p>
        </w:tc>
        <w:tc>
          <w:tcPr>
            <w:tcW w:w="4394" w:type="dxa"/>
            <w:tcBorders>
              <w:bottom w:val="single" w:sz="4" w:space="0" w:color="000000"/>
            </w:tcBorders>
          </w:tcPr>
          <w:p w:rsidR="00891777" w:rsidRDefault="00D265E2" w:rsidP="00891777">
            <w:pPr>
              <w:pStyle w:val="ListParagraph"/>
              <w:numPr>
                <w:ilvl w:val="0"/>
                <w:numId w:val="17"/>
              </w:numPr>
              <w:contextualSpacing/>
              <w:rPr>
                <w:rFonts w:asciiTheme="minorHAnsi" w:eastAsiaTheme="minorHAnsi" w:hAnsiTheme="minorHAnsi"/>
                <w:sz w:val="20"/>
                <w:szCs w:val="20"/>
              </w:rPr>
            </w:pPr>
            <w:r>
              <w:rPr>
                <w:rFonts w:asciiTheme="minorHAnsi" w:eastAsiaTheme="minorHAnsi" w:hAnsiTheme="minorHAnsi"/>
                <w:sz w:val="20"/>
                <w:szCs w:val="20"/>
              </w:rPr>
              <w:t>Movement relations with external actors – how to reflect these in the P&amp;R</w:t>
            </w:r>
          </w:p>
        </w:tc>
        <w:tc>
          <w:tcPr>
            <w:tcW w:w="3510" w:type="dxa"/>
            <w:tcBorders>
              <w:bottom w:val="single" w:sz="4" w:space="0" w:color="000000"/>
            </w:tcBorders>
          </w:tcPr>
          <w:p w:rsidR="00891777" w:rsidRDefault="00D265E2" w:rsidP="00891777">
            <w:pPr>
              <w:pStyle w:val="ListParagraph"/>
              <w:numPr>
                <w:ilvl w:val="0"/>
                <w:numId w:val="17"/>
              </w:numPr>
              <w:contextualSpacing/>
              <w:rPr>
                <w:rFonts w:asciiTheme="minorHAnsi" w:eastAsiaTheme="minorHAnsi" w:hAnsiTheme="minorHAnsi"/>
                <w:sz w:val="20"/>
                <w:szCs w:val="20"/>
              </w:rPr>
            </w:pPr>
            <w:r>
              <w:rPr>
                <w:rFonts w:asciiTheme="minorHAnsi" w:eastAsiaTheme="minorHAnsi" w:hAnsiTheme="minorHAnsi"/>
                <w:sz w:val="20"/>
                <w:szCs w:val="20"/>
              </w:rPr>
              <w:t>Present the latest developments on this topic (e.g. CoD resolution and follow-up)</w:t>
            </w:r>
          </w:p>
          <w:p w:rsidR="00D265E2" w:rsidRPr="00EE6CF5" w:rsidRDefault="00D265E2" w:rsidP="00891777">
            <w:pPr>
              <w:pStyle w:val="ListParagraph"/>
              <w:numPr>
                <w:ilvl w:val="0"/>
                <w:numId w:val="17"/>
              </w:numPr>
              <w:contextualSpacing/>
              <w:rPr>
                <w:rFonts w:asciiTheme="minorHAnsi" w:eastAsiaTheme="minorHAnsi" w:hAnsiTheme="minorHAnsi"/>
                <w:sz w:val="20"/>
                <w:szCs w:val="20"/>
              </w:rPr>
            </w:pPr>
            <w:r>
              <w:rPr>
                <w:rFonts w:asciiTheme="minorHAnsi" w:eastAsiaTheme="minorHAnsi" w:hAnsiTheme="minorHAnsi"/>
                <w:sz w:val="20"/>
                <w:szCs w:val="20"/>
              </w:rPr>
              <w:t>Receive feedback on the minimum elements to be included on P&amp;R regarding different external actors</w:t>
            </w:r>
          </w:p>
        </w:tc>
      </w:tr>
      <w:tr w:rsidR="00891777" w:rsidRPr="00860AB8" w:rsidTr="00891777">
        <w:tc>
          <w:tcPr>
            <w:tcW w:w="1384" w:type="dxa"/>
            <w:shd w:val="pct10" w:color="auto" w:fill="auto"/>
          </w:tcPr>
          <w:p w:rsidR="00891777" w:rsidRPr="001D04AE" w:rsidRDefault="00891777" w:rsidP="00891777">
            <w:pPr>
              <w:rPr>
                <w:rFonts w:asciiTheme="minorHAnsi" w:hAnsiTheme="minorHAnsi"/>
                <w:sz w:val="20"/>
                <w:szCs w:val="20"/>
                <w:u w:val="single"/>
              </w:rPr>
            </w:pPr>
            <w:r>
              <w:rPr>
                <w:rFonts w:asciiTheme="minorHAnsi" w:hAnsiTheme="minorHAnsi"/>
                <w:sz w:val="20"/>
                <w:szCs w:val="20"/>
              </w:rPr>
              <w:t>15.30 -</w:t>
            </w:r>
            <w:r w:rsidRPr="001D04AE">
              <w:rPr>
                <w:rFonts w:asciiTheme="minorHAnsi" w:hAnsiTheme="minorHAnsi"/>
                <w:sz w:val="20"/>
                <w:szCs w:val="20"/>
              </w:rPr>
              <w:t xml:space="preserve"> 16.00</w:t>
            </w:r>
          </w:p>
        </w:tc>
        <w:tc>
          <w:tcPr>
            <w:tcW w:w="7904" w:type="dxa"/>
            <w:gridSpan w:val="2"/>
            <w:shd w:val="pct10" w:color="auto" w:fill="auto"/>
          </w:tcPr>
          <w:p w:rsidR="00891777" w:rsidRPr="00860AB8" w:rsidRDefault="00891777" w:rsidP="00891777">
            <w:pPr>
              <w:jc w:val="center"/>
              <w:rPr>
                <w:rFonts w:asciiTheme="minorHAnsi" w:hAnsiTheme="minorHAnsi"/>
                <w:sz w:val="20"/>
                <w:szCs w:val="20"/>
                <w:u w:val="single"/>
              </w:rPr>
            </w:pPr>
            <w:r w:rsidRPr="00860AB8">
              <w:rPr>
                <w:rFonts w:asciiTheme="minorHAnsi" w:hAnsiTheme="minorHAnsi"/>
                <w:sz w:val="20"/>
                <w:szCs w:val="20"/>
              </w:rPr>
              <w:t>Tea / coffee break</w:t>
            </w:r>
          </w:p>
        </w:tc>
      </w:tr>
      <w:tr w:rsidR="00891777" w:rsidRPr="007E00D0" w:rsidTr="00891777">
        <w:tc>
          <w:tcPr>
            <w:tcW w:w="1384" w:type="dxa"/>
          </w:tcPr>
          <w:p w:rsidR="00891777" w:rsidRPr="001D04AE" w:rsidRDefault="00891777" w:rsidP="00891777">
            <w:pPr>
              <w:rPr>
                <w:rFonts w:asciiTheme="minorHAnsi" w:hAnsiTheme="minorHAnsi"/>
                <w:sz w:val="20"/>
                <w:szCs w:val="20"/>
              </w:rPr>
            </w:pPr>
            <w:r>
              <w:rPr>
                <w:rFonts w:asciiTheme="minorHAnsi" w:hAnsiTheme="minorHAnsi"/>
                <w:sz w:val="20"/>
                <w:szCs w:val="20"/>
              </w:rPr>
              <w:t>16.00 -</w:t>
            </w:r>
            <w:r w:rsidRPr="001D04AE">
              <w:rPr>
                <w:rFonts w:asciiTheme="minorHAnsi" w:hAnsiTheme="minorHAnsi"/>
                <w:sz w:val="20"/>
                <w:szCs w:val="20"/>
              </w:rPr>
              <w:t xml:space="preserve"> 17.30</w:t>
            </w:r>
          </w:p>
        </w:tc>
        <w:tc>
          <w:tcPr>
            <w:tcW w:w="4394" w:type="dxa"/>
          </w:tcPr>
          <w:p w:rsidR="00891777" w:rsidRDefault="00891777" w:rsidP="00891777">
            <w:pPr>
              <w:pStyle w:val="ListParagraph"/>
              <w:ind w:left="0"/>
              <w:contextualSpacing/>
              <w:rPr>
                <w:rFonts w:asciiTheme="minorHAnsi" w:eastAsiaTheme="minorHAnsi" w:hAnsiTheme="minorHAnsi"/>
                <w:sz w:val="20"/>
                <w:szCs w:val="20"/>
                <w:highlight w:val="yellow"/>
              </w:rPr>
            </w:pPr>
            <w:r w:rsidRPr="0022004F">
              <w:rPr>
                <w:rFonts w:asciiTheme="minorHAnsi" w:eastAsiaTheme="minorHAnsi" w:hAnsiTheme="minorHAnsi"/>
                <w:sz w:val="20"/>
                <w:szCs w:val="20"/>
              </w:rPr>
              <w:t>The field of application of the P&amp;R – consultation (disasters and crises)</w:t>
            </w:r>
          </w:p>
        </w:tc>
        <w:tc>
          <w:tcPr>
            <w:tcW w:w="3510" w:type="dxa"/>
          </w:tcPr>
          <w:p w:rsidR="00891777" w:rsidRPr="007E00D0" w:rsidRDefault="00891777" w:rsidP="00891777">
            <w:pPr>
              <w:pStyle w:val="ListParagraph"/>
              <w:numPr>
                <w:ilvl w:val="0"/>
                <w:numId w:val="17"/>
              </w:numPr>
              <w:contextualSpacing/>
              <w:rPr>
                <w:rFonts w:asciiTheme="minorHAnsi" w:eastAsiaTheme="minorHAnsi" w:hAnsiTheme="minorHAnsi"/>
                <w:sz w:val="20"/>
                <w:szCs w:val="20"/>
              </w:rPr>
            </w:pPr>
            <w:r w:rsidRPr="00EE6CF5">
              <w:rPr>
                <w:rFonts w:eastAsiaTheme="minorHAnsi"/>
                <w:sz w:val="20"/>
                <w:szCs w:val="20"/>
              </w:rPr>
              <w:t xml:space="preserve">Receive feedback on the P&amp;R application to crises (or complex emergencies) and possibly ICRC role </w:t>
            </w:r>
          </w:p>
        </w:tc>
      </w:tr>
      <w:tr w:rsidR="00891777" w:rsidRPr="00E208A6" w:rsidTr="00891777">
        <w:tc>
          <w:tcPr>
            <w:tcW w:w="1384" w:type="dxa"/>
            <w:shd w:val="clear" w:color="auto" w:fill="D9D9D9" w:themeFill="background1" w:themeFillShade="D9"/>
          </w:tcPr>
          <w:p w:rsidR="00891777" w:rsidRPr="001D04AE" w:rsidRDefault="00891777" w:rsidP="00891777">
            <w:pPr>
              <w:rPr>
                <w:rFonts w:asciiTheme="minorHAnsi" w:hAnsiTheme="minorHAnsi"/>
                <w:sz w:val="20"/>
                <w:szCs w:val="20"/>
              </w:rPr>
            </w:pPr>
            <w:r>
              <w:rPr>
                <w:rFonts w:asciiTheme="minorHAnsi" w:hAnsiTheme="minorHAnsi"/>
                <w:sz w:val="20"/>
                <w:szCs w:val="20"/>
              </w:rPr>
              <w:t>17:3</w:t>
            </w:r>
            <w:r w:rsidRPr="001D04AE">
              <w:rPr>
                <w:rFonts w:asciiTheme="minorHAnsi" w:hAnsiTheme="minorHAnsi"/>
                <w:sz w:val="20"/>
                <w:szCs w:val="20"/>
              </w:rPr>
              <w:t>0 -</w:t>
            </w:r>
            <w:r>
              <w:rPr>
                <w:rFonts w:asciiTheme="minorHAnsi" w:hAnsiTheme="minorHAnsi"/>
                <w:sz w:val="20"/>
                <w:szCs w:val="20"/>
              </w:rPr>
              <w:t>18:00</w:t>
            </w:r>
          </w:p>
        </w:tc>
        <w:tc>
          <w:tcPr>
            <w:tcW w:w="4394" w:type="dxa"/>
            <w:shd w:val="clear" w:color="auto" w:fill="D9D9D9" w:themeFill="background1" w:themeFillShade="D9"/>
          </w:tcPr>
          <w:p w:rsidR="00891777" w:rsidRPr="00E208A6" w:rsidRDefault="00891777" w:rsidP="00891777">
            <w:pPr>
              <w:numPr>
                <w:ilvl w:val="0"/>
                <w:numId w:val="21"/>
              </w:numPr>
              <w:rPr>
                <w:rFonts w:asciiTheme="minorHAnsi" w:hAnsiTheme="minorHAnsi"/>
                <w:sz w:val="20"/>
                <w:szCs w:val="20"/>
              </w:rPr>
            </w:pPr>
            <w:r w:rsidRPr="00E208A6">
              <w:rPr>
                <w:rFonts w:asciiTheme="minorHAnsi" w:hAnsiTheme="minorHAnsi"/>
                <w:sz w:val="20"/>
                <w:szCs w:val="20"/>
              </w:rPr>
              <w:t>Conclusions and wrap-up</w:t>
            </w:r>
          </w:p>
        </w:tc>
        <w:tc>
          <w:tcPr>
            <w:tcW w:w="3510" w:type="dxa"/>
            <w:shd w:val="clear" w:color="auto" w:fill="D9D9D9" w:themeFill="background1" w:themeFillShade="D9"/>
          </w:tcPr>
          <w:p w:rsidR="00891777" w:rsidRPr="00E208A6" w:rsidRDefault="00891777" w:rsidP="00891777">
            <w:pPr>
              <w:numPr>
                <w:ilvl w:val="0"/>
                <w:numId w:val="21"/>
              </w:numPr>
              <w:rPr>
                <w:rFonts w:asciiTheme="minorHAnsi" w:hAnsiTheme="minorHAnsi"/>
                <w:sz w:val="20"/>
                <w:szCs w:val="20"/>
              </w:rPr>
            </w:pPr>
            <w:r w:rsidRPr="00E208A6">
              <w:rPr>
                <w:rFonts w:asciiTheme="minorHAnsi" w:hAnsiTheme="minorHAnsi"/>
                <w:sz w:val="20"/>
                <w:szCs w:val="20"/>
              </w:rPr>
              <w:t xml:space="preserve">Summarize the main outcomes of the consultation </w:t>
            </w:r>
          </w:p>
        </w:tc>
      </w:tr>
    </w:tbl>
    <w:p w:rsidR="007E00D0" w:rsidRDefault="007E00D0" w:rsidP="0061552F">
      <w:pPr>
        <w:jc w:val="both"/>
        <w:rPr>
          <w:lang w:eastAsia="en-GB"/>
        </w:rPr>
      </w:pPr>
    </w:p>
    <w:p w:rsidR="006842CB" w:rsidRPr="00B80BAB" w:rsidRDefault="006842CB" w:rsidP="00B80BAB">
      <w:pPr>
        <w:pStyle w:val="Heading1"/>
        <w:numPr>
          <w:ilvl w:val="0"/>
          <w:numId w:val="15"/>
        </w:numPr>
      </w:pPr>
      <w:bookmarkStart w:id="15" w:name="_Toc319944277"/>
      <w:bookmarkStart w:id="16" w:name="_Toc319944317"/>
      <w:bookmarkStart w:id="17" w:name="_Toc319944278"/>
      <w:bookmarkStart w:id="18" w:name="_Toc319944318"/>
      <w:bookmarkStart w:id="19" w:name="_Toc319944319"/>
      <w:bookmarkEnd w:id="15"/>
      <w:bookmarkEnd w:id="16"/>
      <w:bookmarkEnd w:id="17"/>
      <w:bookmarkEnd w:id="18"/>
      <w:r>
        <w:t>Incorporating Consultation Feedback into the Revision of P&amp;R</w:t>
      </w:r>
      <w:bookmarkEnd w:id="19"/>
    </w:p>
    <w:p w:rsidR="00B80BAB" w:rsidRDefault="00B97E14" w:rsidP="008C3AD4">
      <w:pPr>
        <w:jc w:val="both"/>
      </w:pPr>
      <w:r>
        <w:t xml:space="preserve">As described above, the consultation process will collect </w:t>
      </w:r>
      <w:r w:rsidR="00163BC7">
        <w:t xml:space="preserve">National Society and other expert feedback but the consultations will not </w:t>
      </w:r>
      <w:r w:rsidR="00265AC9">
        <w:t xml:space="preserve">be drafting sessions where a revised P&amp;R is produced. The consolidation of feedback and the drafting of a revised P&amp;R will be done by a dedicated Secretariat working group and a drafting group.  </w:t>
      </w:r>
    </w:p>
    <w:p w:rsidR="00265AC9" w:rsidRDefault="00265AC9" w:rsidP="008C3AD4">
      <w:pPr>
        <w:jc w:val="both"/>
      </w:pPr>
      <w:r>
        <w:t xml:space="preserve">The </w:t>
      </w:r>
      <w:r w:rsidRPr="002F5B69">
        <w:rPr>
          <w:b/>
        </w:rPr>
        <w:t>Secretariat working group</w:t>
      </w:r>
      <w:r>
        <w:t xml:space="preserve"> will summarize and analyse the consultation feedback as well as agree on the key revisions to the P&amp;R. The working group will be comprised of the following members:</w:t>
      </w:r>
    </w:p>
    <w:p w:rsidR="008C3AD4" w:rsidRDefault="008C3AD4" w:rsidP="00B80BAB"/>
    <w:p w:rsidR="00265AC9" w:rsidRPr="002F5B69" w:rsidRDefault="00265AC9" w:rsidP="005552DC">
      <w:pPr>
        <w:pStyle w:val="ListParagraph"/>
        <w:numPr>
          <w:ilvl w:val="0"/>
          <w:numId w:val="18"/>
        </w:numPr>
        <w:ind w:left="714" w:hanging="357"/>
        <w:rPr>
          <w:rFonts w:ascii="Arial" w:hAnsi="Arial" w:cs="Arial"/>
          <w:color w:val="000000" w:themeColor="text1"/>
        </w:rPr>
      </w:pPr>
      <w:r w:rsidRPr="002F5B69">
        <w:rPr>
          <w:rFonts w:ascii="Arial" w:hAnsi="Arial" w:cs="Arial"/>
          <w:color w:val="000000" w:themeColor="text1"/>
        </w:rPr>
        <w:t>Head of Disaster and Crisis Management Department</w:t>
      </w:r>
    </w:p>
    <w:p w:rsidR="00265AC9" w:rsidRPr="002F5B69" w:rsidRDefault="00265AC9" w:rsidP="005552DC">
      <w:pPr>
        <w:pStyle w:val="ListParagraph"/>
        <w:numPr>
          <w:ilvl w:val="0"/>
          <w:numId w:val="18"/>
        </w:numPr>
        <w:ind w:left="714" w:hanging="357"/>
        <w:rPr>
          <w:rFonts w:ascii="Arial" w:hAnsi="Arial" w:cs="Arial"/>
          <w:color w:val="000000" w:themeColor="text1"/>
        </w:rPr>
      </w:pPr>
      <w:r w:rsidRPr="002F5B69">
        <w:rPr>
          <w:rFonts w:ascii="Arial" w:hAnsi="Arial" w:cs="Arial"/>
          <w:color w:val="000000" w:themeColor="text1"/>
        </w:rPr>
        <w:t xml:space="preserve">Senior Disaster Policy Advisor </w:t>
      </w:r>
    </w:p>
    <w:p w:rsidR="00265AC9" w:rsidRPr="002F5B69" w:rsidRDefault="00265AC9" w:rsidP="005552DC">
      <w:pPr>
        <w:pStyle w:val="ListParagraph"/>
        <w:numPr>
          <w:ilvl w:val="0"/>
          <w:numId w:val="18"/>
        </w:numPr>
        <w:ind w:left="714" w:hanging="357"/>
        <w:rPr>
          <w:rFonts w:ascii="Arial" w:hAnsi="Arial" w:cs="Arial"/>
          <w:color w:val="000000" w:themeColor="text1"/>
        </w:rPr>
      </w:pPr>
      <w:r w:rsidRPr="002F5B69">
        <w:rPr>
          <w:rFonts w:ascii="Arial" w:hAnsi="Arial" w:cs="Arial"/>
          <w:color w:val="000000" w:themeColor="text1"/>
        </w:rPr>
        <w:t>Representative from the Core Group of the previous revision process (preferably from Governance Support)</w:t>
      </w:r>
    </w:p>
    <w:p w:rsidR="00265AC9" w:rsidRPr="002F5B69" w:rsidRDefault="00265AC9" w:rsidP="005552DC">
      <w:pPr>
        <w:pStyle w:val="ListParagraph"/>
        <w:numPr>
          <w:ilvl w:val="0"/>
          <w:numId w:val="18"/>
        </w:numPr>
        <w:ind w:left="714" w:hanging="357"/>
        <w:rPr>
          <w:rFonts w:ascii="Arial" w:hAnsi="Arial" w:cs="Arial"/>
          <w:color w:val="000000" w:themeColor="text1"/>
        </w:rPr>
      </w:pPr>
      <w:r w:rsidRPr="002F5B69">
        <w:rPr>
          <w:rFonts w:ascii="Arial" w:hAnsi="Arial" w:cs="Arial"/>
          <w:color w:val="000000" w:themeColor="text1"/>
        </w:rPr>
        <w:t>Representative from Community Preparedness and Risk Reduction department</w:t>
      </w:r>
    </w:p>
    <w:p w:rsidR="008C3AD4" w:rsidRPr="002F5B69" w:rsidRDefault="00265AC9" w:rsidP="005552DC">
      <w:pPr>
        <w:pStyle w:val="ListParagraph"/>
        <w:numPr>
          <w:ilvl w:val="0"/>
          <w:numId w:val="18"/>
        </w:numPr>
        <w:ind w:left="714" w:hanging="357"/>
        <w:rPr>
          <w:rFonts w:ascii="Arial" w:hAnsi="Arial" w:cs="Arial"/>
          <w:color w:val="000000" w:themeColor="text1"/>
        </w:rPr>
      </w:pPr>
      <w:r w:rsidRPr="002F5B69">
        <w:rPr>
          <w:rFonts w:ascii="Arial" w:hAnsi="Arial" w:cs="Arial"/>
          <w:color w:val="000000" w:themeColor="text1"/>
        </w:rPr>
        <w:t>Representative from the Legal department</w:t>
      </w:r>
    </w:p>
    <w:p w:rsidR="008C3AD4" w:rsidRPr="002F5B69" w:rsidRDefault="008C3AD4" w:rsidP="005552DC">
      <w:pPr>
        <w:pStyle w:val="ListParagraph"/>
        <w:numPr>
          <w:ilvl w:val="0"/>
          <w:numId w:val="18"/>
        </w:numPr>
        <w:ind w:left="714" w:hanging="357"/>
        <w:rPr>
          <w:rFonts w:ascii="Arial" w:hAnsi="Arial" w:cs="Arial"/>
          <w:color w:val="000000" w:themeColor="text1"/>
        </w:rPr>
      </w:pPr>
      <w:r w:rsidRPr="002F5B69">
        <w:rPr>
          <w:rFonts w:ascii="Arial" w:hAnsi="Arial" w:cs="Arial"/>
          <w:color w:val="000000" w:themeColor="text1"/>
        </w:rPr>
        <w:t xml:space="preserve">Representative from the </w:t>
      </w:r>
      <w:r w:rsidRPr="002F5B69">
        <w:rPr>
          <w:rFonts w:ascii="Arial" w:hAnsi="Arial" w:cs="Arial"/>
        </w:rPr>
        <w:t>Strategic Partnerships and International Relations Department (with expertise in the Movement Relations with External Actors process)</w:t>
      </w:r>
    </w:p>
    <w:p w:rsidR="00265AC9" w:rsidRPr="002F5B69" w:rsidRDefault="00265AC9" w:rsidP="005552DC">
      <w:pPr>
        <w:pStyle w:val="ListParagraph"/>
        <w:numPr>
          <w:ilvl w:val="0"/>
          <w:numId w:val="18"/>
        </w:numPr>
        <w:ind w:left="714" w:hanging="357"/>
        <w:rPr>
          <w:rFonts w:ascii="Arial" w:hAnsi="Arial" w:cs="Arial"/>
          <w:color w:val="000000" w:themeColor="text1"/>
        </w:rPr>
      </w:pPr>
      <w:r w:rsidRPr="002F5B69">
        <w:rPr>
          <w:rFonts w:ascii="Arial" w:hAnsi="Arial" w:cs="Arial"/>
          <w:color w:val="000000" w:themeColor="text1"/>
        </w:rPr>
        <w:t>Experts of specific topics invited as necessary (e.g. finance, audit etc.)</w:t>
      </w:r>
    </w:p>
    <w:p w:rsidR="00265AC9" w:rsidRPr="002F5B69" w:rsidRDefault="00265AC9" w:rsidP="005552DC">
      <w:pPr>
        <w:pStyle w:val="ListParagraph"/>
        <w:numPr>
          <w:ilvl w:val="0"/>
          <w:numId w:val="18"/>
        </w:numPr>
        <w:ind w:left="714" w:hanging="357"/>
        <w:rPr>
          <w:rFonts w:ascii="Arial" w:hAnsi="Arial" w:cs="Arial"/>
          <w:color w:val="000000" w:themeColor="text1"/>
        </w:rPr>
      </w:pPr>
      <w:r w:rsidRPr="002F5B69">
        <w:rPr>
          <w:rFonts w:ascii="Arial" w:hAnsi="Arial" w:cs="Arial"/>
          <w:color w:val="000000" w:themeColor="text1"/>
        </w:rPr>
        <w:t xml:space="preserve">Representative from ICRC </w:t>
      </w:r>
    </w:p>
    <w:p w:rsidR="002F5B69" w:rsidRDefault="002F5B69" w:rsidP="008C3AD4">
      <w:pPr>
        <w:spacing w:line="276" w:lineRule="auto"/>
        <w:rPr>
          <w:rFonts w:cs="Arial"/>
          <w:color w:val="000000" w:themeColor="text1"/>
          <w:sz w:val="20"/>
          <w:szCs w:val="20"/>
        </w:rPr>
      </w:pPr>
    </w:p>
    <w:p w:rsidR="00FF1784" w:rsidRPr="002F5B69" w:rsidRDefault="008C3AD4" w:rsidP="008C3AD4">
      <w:pPr>
        <w:spacing w:line="276" w:lineRule="auto"/>
        <w:rPr>
          <w:rFonts w:cs="Arial"/>
          <w:color w:val="000000" w:themeColor="text1"/>
          <w:szCs w:val="22"/>
        </w:rPr>
      </w:pPr>
      <w:r w:rsidRPr="002F5B69">
        <w:rPr>
          <w:rFonts w:cs="Arial"/>
          <w:color w:val="000000" w:themeColor="text1"/>
          <w:szCs w:val="22"/>
        </w:rPr>
        <w:t xml:space="preserve">The </w:t>
      </w:r>
      <w:r w:rsidRPr="002F5B69">
        <w:rPr>
          <w:rFonts w:cs="Arial"/>
          <w:b/>
          <w:color w:val="000000" w:themeColor="text1"/>
          <w:szCs w:val="22"/>
        </w:rPr>
        <w:t>drafting group</w:t>
      </w:r>
      <w:r w:rsidRPr="002F5B69">
        <w:rPr>
          <w:rFonts w:cs="Arial"/>
          <w:color w:val="000000" w:themeColor="text1"/>
          <w:szCs w:val="22"/>
        </w:rPr>
        <w:t xml:space="preserve"> will draft, according to the guidance given by the working group, the revisions to the P&amp;R text. The drafting group members are as follows:</w:t>
      </w:r>
    </w:p>
    <w:p w:rsidR="008C3AD4" w:rsidRPr="002F5B69" w:rsidRDefault="008C3AD4" w:rsidP="008C3AD4">
      <w:pPr>
        <w:pStyle w:val="ListParagraph"/>
        <w:numPr>
          <w:ilvl w:val="0"/>
          <w:numId w:val="18"/>
        </w:numPr>
        <w:spacing w:line="276" w:lineRule="auto"/>
        <w:rPr>
          <w:rFonts w:ascii="Arial" w:hAnsi="Arial" w:cs="Arial"/>
          <w:color w:val="000000" w:themeColor="text1"/>
        </w:rPr>
      </w:pPr>
      <w:r w:rsidRPr="002F5B69">
        <w:rPr>
          <w:rFonts w:ascii="Arial" w:hAnsi="Arial" w:cs="Arial"/>
          <w:color w:val="000000" w:themeColor="text1"/>
        </w:rPr>
        <w:t>Head of Disaster and Crisis Management Department</w:t>
      </w:r>
    </w:p>
    <w:p w:rsidR="008C3AD4" w:rsidRPr="002F5B69" w:rsidRDefault="008C3AD4" w:rsidP="008C3AD4">
      <w:pPr>
        <w:pStyle w:val="ListParagraph"/>
        <w:numPr>
          <w:ilvl w:val="0"/>
          <w:numId w:val="18"/>
        </w:numPr>
        <w:spacing w:line="276" w:lineRule="auto"/>
        <w:rPr>
          <w:rFonts w:ascii="Arial" w:hAnsi="Arial" w:cs="Arial"/>
          <w:color w:val="000000" w:themeColor="text1"/>
        </w:rPr>
      </w:pPr>
      <w:r w:rsidRPr="002F5B69">
        <w:rPr>
          <w:rFonts w:ascii="Arial" w:hAnsi="Arial" w:cs="Arial"/>
          <w:color w:val="000000" w:themeColor="text1"/>
        </w:rPr>
        <w:t xml:space="preserve">Senior Disaster Policy Advisor </w:t>
      </w:r>
    </w:p>
    <w:p w:rsidR="00B80BAB" w:rsidRPr="002F5B69" w:rsidRDefault="008C3AD4" w:rsidP="00B80BAB">
      <w:pPr>
        <w:pStyle w:val="ListParagraph"/>
        <w:numPr>
          <w:ilvl w:val="0"/>
          <w:numId w:val="18"/>
        </w:numPr>
        <w:spacing w:line="276" w:lineRule="auto"/>
        <w:rPr>
          <w:rFonts w:ascii="Arial" w:hAnsi="Arial" w:cs="Arial"/>
          <w:color w:val="000000" w:themeColor="text1"/>
        </w:rPr>
      </w:pPr>
      <w:r w:rsidRPr="002F5B69">
        <w:rPr>
          <w:rFonts w:ascii="Arial" w:hAnsi="Arial" w:cs="Arial"/>
          <w:color w:val="000000" w:themeColor="text1"/>
        </w:rPr>
        <w:t>Experts of specific topics invited as necessary (e.g. finance, audit, external relations etc.)</w:t>
      </w:r>
    </w:p>
    <w:p w:rsidR="00891777" w:rsidRPr="002F5B69" w:rsidRDefault="00891777" w:rsidP="00B80BAB">
      <w:pPr>
        <w:pStyle w:val="ListParagraph"/>
        <w:numPr>
          <w:ilvl w:val="0"/>
          <w:numId w:val="18"/>
        </w:numPr>
        <w:spacing w:line="276" w:lineRule="auto"/>
        <w:rPr>
          <w:rFonts w:ascii="Arial" w:hAnsi="Arial" w:cs="Arial"/>
          <w:color w:val="000000" w:themeColor="text1"/>
        </w:rPr>
      </w:pPr>
      <w:r w:rsidRPr="002F5B69">
        <w:rPr>
          <w:rFonts w:ascii="Arial" w:hAnsi="Arial" w:cs="Arial"/>
          <w:color w:val="000000" w:themeColor="text1"/>
        </w:rPr>
        <w:t>A consultant/ style editor ( depending on funding available)</w:t>
      </w:r>
    </w:p>
    <w:p w:rsidR="00D265E2" w:rsidRPr="002F5B69" w:rsidRDefault="00D265E2" w:rsidP="00D265E2">
      <w:pPr>
        <w:pStyle w:val="ListParagraph"/>
        <w:spacing w:line="276" w:lineRule="auto"/>
        <w:rPr>
          <w:rFonts w:ascii="Arial" w:hAnsi="Arial" w:cs="Arial"/>
          <w:color w:val="000000" w:themeColor="text1"/>
        </w:rPr>
      </w:pPr>
    </w:p>
    <w:p w:rsidR="008C3AD4" w:rsidRPr="002F5B69" w:rsidRDefault="005552DC" w:rsidP="008C3AD4">
      <w:pPr>
        <w:spacing w:after="200" w:line="276" w:lineRule="auto"/>
        <w:rPr>
          <w:rFonts w:cs="Arial"/>
          <w:color w:val="000000" w:themeColor="text1"/>
          <w:szCs w:val="22"/>
        </w:rPr>
      </w:pPr>
      <w:r w:rsidRPr="002F5B69">
        <w:rPr>
          <w:rFonts w:cs="Arial"/>
          <w:color w:val="000000" w:themeColor="text1"/>
          <w:szCs w:val="22"/>
        </w:rPr>
        <w:t xml:space="preserve">The below figure (Figure </w:t>
      </w:r>
      <w:r w:rsidR="002F5B69" w:rsidRPr="002F5B69">
        <w:rPr>
          <w:rFonts w:cs="Arial"/>
          <w:color w:val="000000" w:themeColor="text1"/>
          <w:szCs w:val="22"/>
        </w:rPr>
        <w:t>1</w:t>
      </w:r>
      <w:r w:rsidRPr="002F5B69">
        <w:rPr>
          <w:rFonts w:cs="Arial"/>
          <w:color w:val="000000" w:themeColor="text1"/>
          <w:szCs w:val="22"/>
        </w:rPr>
        <w:t>) illustrates the process from consultation to a revised P&amp;R (draft 1).</w:t>
      </w:r>
    </w:p>
    <w:p w:rsidR="008C3AD4" w:rsidRDefault="00682D4C" w:rsidP="008C3AD4">
      <w:pPr>
        <w:spacing w:after="200" w:line="276" w:lineRule="auto"/>
        <w:rPr>
          <w:rFonts w:cs="Arial"/>
          <w:color w:val="000000" w:themeColor="text1"/>
          <w:sz w:val="20"/>
          <w:szCs w:val="20"/>
        </w:rPr>
      </w:pPr>
      <w:r>
        <w:rPr>
          <w:rFonts w:cs="Arial"/>
          <w:noProof/>
          <w:color w:val="000000" w:themeColor="text1"/>
          <w:sz w:val="20"/>
          <w:szCs w:val="20"/>
          <w:lang w:val="en-GB" w:eastAsia="en-GB"/>
        </w:rPr>
        <w:drawing>
          <wp:inline distT="0" distB="0" distL="0" distR="0">
            <wp:extent cx="6315075" cy="26670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315075" cy="2667000"/>
                    </a:xfrm>
                    <a:prstGeom prst="rect">
                      <a:avLst/>
                    </a:prstGeom>
                    <a:noFill/>
                    <a:ln w="9525">
                      <a:noFill/>
                      <a:miter lim="800000"/>
                      <a:headEnd/>
                      <a:tailEnd/>
                    </a:ln>
                  </pic:spPr>
                </pic:pic>
              </a:graphicData>
            </a:graphic>
          </wp:inline>
        </w:drawing>
      </w:r>
    </w:p>
    <w:p w:rsidR="005552DC" w:rsidRDefault="005552DC" w:rsidP="008C3AD4">
      <w:pPr>
        <w:spacing w:after="200" w:line="276" w:lineRule="auto"/>
        <w:rPr>
          <w:rFonts w:cs="Arial"/>
          <w:color w:val="000000" w:themeColor="text1"/>
          <w:sz w:val="20"/>
          <w:szCs w:val="20"/>
        </w:rPr>
      </w:pPr>
      <w:r w:rsidRPr="00640D79">
        <w:rPr>
          <w:rFonts w:cs="Arial"/>
          <w:b/>
          <w:color w:val="000000" w:themeColor="text1"/>
          <w:sz w:val="20"/>
          <w:szCs w:val="20"/>
        </w:rPr>
        <w:t xml:space="preserve">Figure </w:t>
      </w:r>
      <w:r w:rsidR="002F5B69">
        <w:rPr>
          <w:rFonts w:cs="Arial"/>
          <w:b/>
          <w:color w:val="000000" w:themeColor="text1"/>
          <w:sz w:val="20"/>
          <w:szCs w:val="20"/>
        </w:rPr>
        <w:t>1</w:t>
      </w:r>
      <w:r>
        <w:rPr>
          <w:rFonts w:cs="Arial"/>
          <w:color w:val="000000" w:themeColor="text1"/>
          <w:sz w:val="20"/>
          <w:szCs w:val="20"/>
        </w:rPr>
        <w:t xml:space="preserve">. </w:t>
      </w:r>
      <w:r w:rsidR="00640D79">
        <w:rPr>
          <w:rFonts w:cs="Arial"/>
          <w:color w:val="000000" w:themeColor="text1"/>
          <w:sz w:val="20"/>
          <w:szCs w:val="20"/>
        </w:rPr>
        <w:t xml:space="preserve">Process description from consultation to a </w:t>
      </w:r>
      <w:r w:rsidR="003B4736">
        <w:rPr>
          <w:rFonts w:cs="Arial"/>
          <w:color w:val="000000" w:themeColor="text1"/>
          <w:sz w:val="20"/>
          <w:szCs w:val="20"/>
        </w:rPr>
        <w:t xml:space="preserve"> draft 1 of the revised P&amp;R</w:t>
      </w:r>
    </w:p>
    <w:p w:rsidR="005552DC" w:rsidRPr="008C3AD4" w:rsidRDefault="005552DC" w:rsidP="008C3AD4">
      <w:pPr>
        <w:spacing w:after="200" w:line="276" w:lineRule="auto"/>
        <w:rPr>
          <w:rFonts w:cs="Arial"/>
          <w:color w:val="000000" w:themeColor="text1"/>
          <w:sz w:val="20"/>
          <w:szCs w:val="20"/>
        </w:rPr>
      </w:pPr>
    </w:p>
    <w:p w:rsidR="00B80BAB" w:rsidRDefault="00E74F72" w:rsidP="00B80BAB">
      <w:pPr>
        <w:pStyle w:val="Heading1"/>
        <w:numPr>
          <w:ilvl w:val="0"/>
          <w:numId w:val="15"/>
        </w:numPr>
      </w:pPr>
      <w:bookmarkStart w:id="20" w:name="_Toc319944320"/>
      <w:r>
        <w:t xml:space="preserve">Consultation on the </w:t>
      </w:r>
      <w:r w:rsidR="00D265E2">
        <w:t>Draft Principles and Rules Document</w:t>
      </w:r>
      <w:bookmarkEnd w:id="20"/>
    </w:p>
    <w:p w:rsidR="005B0262" w:rsidRDefault="00596AB3" w:rsidP="004E52CF">
      <w:pPr>
        <w:jc w:val="both"/>
      </w:pPr>
      <w:r>
        <w:t>After</w:t>
      </w:r>
      <w:r w:rsidR="006654EF">
        <w:t xml:space="preserve"> the first draft of the revised Principles and Rules has been produced</w:t>
      </w:r>
      <w:r w:rsidR="00E74F72">
        <w:t xml:space="preserve"> </w:t>
      </w:r>
      <w:r w:rsidR="005B0262">
        <w:t>it will be shared with all National Societies for feedback. Based on the feedback a revised draft</w:t>
      </w:r>
      <w:r w:rsidR="004E52CF">
        <w:t xml:space="preserve"> (draft 2)</w:t>
      </w:r>
      <w:r w:rsidR="005B0262">
        <w:t xml:space="preserve"> will be developed an</w:t>
      </w:r>
      <w:r w:rsidR="00FF1784">
        <w:t xml:space="preserve">d shared for final comments </w:t>
      </w:r>
      <w:r w:rsidR="00622743">
        <w:t>to</w:t>
      </w:r>
      <w:r w:rsidR="005B0262">
        <w:t xml:space="preserve"> the Disaster and Crisis Management Advisory Body and the Global Senior Management Team at the Secretariat. This will lead to a final draft which will be then submitted to the Governing Board for approval. The below table</w:t>
      </w:r>
      <w:r w:rsidR="002F5B69">
        <w:t xml:space="preserve"> (Table 3.)</w:t>
      </w:r>
      <w:r w:rsidR="005B0262">
        <w:t xml:space="preserve"> summarizes these consultation steps.</w:t>
      </w:r>
    </w:p>
    <w:p w:rsidR="005B0262" w:rsidRDefault="00640D79" w:rsidP="00640D79">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4472"/>
        <w:gridCol w:w="3283"/>
      </w:tblGrid>
      <w:tr w:rsidR="005B0262" w:rsidTr="00CE218E">
        <w:tc>
          <w:tcPr>
            <w:tcW w:w="2093" w:type="dxa"/>
            <w:shd w:val="clear" w:color="auto" w:fill="00B050"/>
          </w:tcPr>
          <w:p w:rsidR="005B0262" w:rsidRPr="00CE218E" w:rsidRDefault="005B0262" w:rsidP="00640D79">
            <w:pPr>
              <w:rPr>
                <w:b/>
              </w:rPr>
            </w:pPr>
            <w:r w:rsidRPr="00CE218E">
              <w:rPr>
                <w:b/>
              </w:rPr>
              <w:t>Time</w:t>
            </w:r>
          </w:p>
        </w:tc>
        <w:tc>
          <w:tcPr>
            <w:tcW w:w="4472" w:type="dxa"/>
            <w:shd w:val="clear" w:color="auto" w:fill="00B050"/>
          </w:tcPr>
          <w:p w:rsidR="005B0262" w:rsidRPr="00CE218E" w:rsidRDefault="005B0262" w:rsidP="00640D79">
            <w:pPr>
              <w:rPr>
                <w:b/>
              </w:rPr>
            </w:pPr>
            <w:r w:rsidRPr="00CE218E">
              <w:rPr>
                <w:b/>
              </w:rPr>
              <w:t>Consultation step</w:t>
            </w:r>
          </w:p>
        </w:tc>
        <w:tc>
          <w:tcPr>
            <w:tcW w:w="3283" w:type="dxa"/>
            <w:shd w:val="clear" w:color="auto" w:fill="00B050"/>
          </w:tcPr>
          <w:p w:rsidR="005B0262" w:rsidRPr="00CE218E" w:rsidRDefault="005B0262" w:rsidP="00640D79">
            <w:pPr>
              <w:rPr>
                <w:b/>
              </w:rPr>
            </w:pPr>
            <w:r w:rsidRPr="00CE218E">
              <w:rPr>
                <w:b/>
              </w:rPr>
              <w:t>Audience</w:t>
            </w:r>
          </w:p>
        </w:tc>
      </w:tr>
      <w:tr w:rsidR="005B0262" w:rsidTr="00CE218E">
        <w:tc>
          <w:tcPr>
            <w:tcW w:w="2093" w:type="dxa"/>
          </w:tcPr>
          <w:p w:rsidR="00AA1BA8" w:rsidRDefault="005B0262">
            <w:r>
              <w:t>Q4</w:t>
            </w:r>
            <w:r w:rsidR="00A058E6">
              <w:t xml:space="preserve"> </w:t>
            </w:r>
            <w:r>
              <w:t>2012</w:t>
            </w:r>
          </w:p>
        </w:tc>
        <w:tc>
          <w:tcPr>
            <w:tcW w:w="4472" w:type="dxa"/>
          </w:tcPr>
          <w:p w:rsidR="005B0262" w:rsidRDefault="005B0262" w:rsidP="00640D79">
            <w:r>
              <w:t>Consultation on draft</w:t>
            </w:r>
            <w:r w:rsidR="00753E57">
              <w:t xml:space="preserve"> 1</w:t>
            </w:r>
            <w:r>
              <w:t xml:space="preserve"> P&amp;R</w:t>
            </w:r>
          </w:p>
        </w:tc>
        <w:tc>
          <w:tcPr>
            <w:tcW w:w="3283" w:type="dxa"/>
          </w:tcPr>
          <w:p w:rsidR="00AA1BA8" w:rsidRDefault="00622743">
            <w:r>
              <w:t>Draft 1 to be sent to a</w:t>
            </w:r>
            <w:r w:rsidR="005B0262">
              <w:t>ll National Societies</w:t>
            </w:r>
          </w:p>
        </w:tc>
      </w:tr>
      <w:tr w:rsidR="005B0262" w:rsidTr="00CE218E">
        <w:tc>
          <w:tcPr>
            <w:tcW w:w="2093" w:type="dxa"/>
          </w:tcPr>
          <w:p w:rsidR="005B0262" w:rsidRDefault="005B0262" w:rsidP="00640D79">
            <w:r>
              <w:t>Q1</w:t>
            </w:r>
            <w:r w:rsidR="00A058E6">
              <w:t xml:space="preserve"> 2013</w:t>
            </w:r>
          </w:p>
        </w:tc>
        <w:tc>
          <w:tcPr>
            <w:tcW w:w="4472" w:type="dxa"/>
          </w:tcPr>
          <w:p w:rsidR="005B0262" w:rsidRDefault="00A058E6" w:rsidP="00640D79">
            <w:r>
              <w:t>Consultation on draft 2</w:t>
            </w:r>
            <w:r w:rsidR="00753E57">
              <w:t xml:space="preserve"> P&amp;R</w:t>
            </w:r>
          </w:p>
        </w:tc>
        <w:tc>
          <w:tcPr>
            <w:tcW w:w="3283" w:type="dxa"/>
          </w:tcPr>
          <w:p w:rsidR="00A058E6" w:rsidRDefault="00A058E6" w:rsidP="00640D79">
            <w:r>
              <w:t>Disaster and Crisis Management Advisory Body and Global Senior Management Team</w:t>
            </w:r>
          </w:p>
        </w:tc>
      </w:tr>
      <w:tr w:rsidR="005B0262" w:rsidTr="00CE218E">
        <w:tc>
          <w:tcPr>
            <w:tcW w:w="2093" w:type="dxa"/>
          </w:tcPr>
          <w:p w:rsidR="005B0262" w:rsidRDefault="00A058E6" w:rsidP="00640D79">
            <w:r>
              <w:t>Q2 2013</w:t>
            </w:r>
          </w:p>
        </w:tc>
        <w:tc>
          <w:tcPr>
            <w:tcW w:w="4472" w:type="dxa"/>
          </w:tcPr>
          <w:p w:rsidR="005B0262" w:rsidRDefault="00A058E6" w:rsidP="00640D79">
            <w:r>
              <w:t>Submission of the revised P&amp;R to the Governing Board</w:t>
            </w:r>
          </w:p>
        </w:tc>
        <w:tc>
          <w:tcPr>
            <w:tcW w:w="3283" w:type="dxa"/>
          </w:tcPr>
          <w:p w:rsidR="005B0262" w:rsidRDefault="00A058E6" w:rsidP="00640D79">
            <w:r>
              <w:t>Governing Board</w:t>
            </w:r>
          </w:p>
        </w:tc>
      </w:tr>
    </w:tbl>
    <w:p w:rsidR="00586409" w:rsidRPr="002F5B69" w:rsidRDefault="002F5B69" w:rsidP="00586409">
      <w:pPr>
        <w:rPr>
          <w:sz w:val="20"/>
          <w:szCs w:val="20"/>
        </w:rPr>
      </w:pPr>
      <w:r w:rsidRPr="002F5B69">
        <w:rPr>
          <w:b/>
          <w:sz w:val="20"/>
          <w:szCs w:val="20"/>
        </w:rPr>
        <w:t xml:space="preserve">Table 3. </w:t>
      </w:r>
      <w:r w:rsidRPr="002F5B69">
        <w:rPr>
          <w:sz w:val="20"/>
          <w:szCs w:val="20"/>
        </w:rPr>
        <w:t>Consultation steps for the draft P&amp;R</w:t>
      </w:r>
    </w:p>
    <w:p w:rsidR="002F5B69" w:rsidRPr="002F5B69" w:rsidRDefault="002F5B69" w:rsidP="00586409">
      <w:pPr>
        <w:rPr>
          <w:b/>
        </w:rPr>
      </w:pPr>
    </w:p>
    <w:p w:rsidR="00586409" w:rsidRDefault="00B17F42" w:rsidP="00586409">
      <w:pPr>
        <w:pStyle w:val="Heading1"/>
        <w:numPr>
          <w:ilvl w:val="0"/>
          <w:numId w:val="15"/>
        </w:numPr>
      </w:pPr>
      <w:bookmarkStart w:id="21" w:name="_Toc319944321"/>
      <w:r>
        <w:t>Project Communication</w:t>
      </w:r>
      <w:bookmarkEnd w:id="21"/>
    </w:p>
    <w:p w:rsidR="00400B3F" w:rsidRDefault="00B241C1" w:rsidP="004E52CF">
      <w:pPr>
        <w:jc w:val="both"/>
      </w:pPr>
      <w:r>
        <w:t xml:space="preserve">For the consultation and revision to be successful, effective communication with the different stakeholders is required. </w:t>
      </w:r>
      <w:r w:rsidR="00F1758C">
        <w:t>Therefore, communication activities will be undertaken as part of the P&amp;R consultation and revision project. The key parts of the commun</w:t>
      </w:r>
      <w:r w:rsidR="00FF1784">
        <w:t>ication plan are outlined below.</w:t>
      </w:r>
    </w:p>
    <w:p w:rsidR="00A058E6" w:rsidRDefault="00400B3F" w:rsidP="004E52CF">
      <w:pPr>
        <w:jc w:val="both"/>
      </w:pPr>
      <w:r w:rsidRPr="00F1758C">
        <w:rPr>
          <w:b/>
        </w:rPr>
        <w:t>Audience</w:t>
      </w:r>
      <w:r w:rsidR="00F1758C" w:rsidRPr="00F1758C">
        <w:rPr>
          <w:b/>
        </w:rPr>
        <w:t>:</w:t>
      </w:r>
      <w:r w:rsidR="00F1758C">
        <w:t xml:space="preserve"> The priority audience is RCRC National Society leadership globally. Secondary audience is the IFRC and ICRC management and disaster management staff. Later on in the process (possibly beyond 2013) Governments will be</w:t>
      </w:r>
      <w:r w:rsidR="00FF1784">
        <w:t xml:space="preserve"> also considered as a key</w:t>
      </w:r>
      <w:r w:rsidR="00F1758C">
        <w:t xml:space="preserve"> audien</w:t>
      </w:r>
      <w:r w:rsidR="00FF1784">
        <w:t>ce for communication</w:t>
      </w:r>
      <w:r w:rsidR="00472F3A">
        <w:t>.</w:t>
      </w:r>
      <w:r w:rsidR="00F1758C">
        <w:t xml:space="preserve"> </w:t>
      </w:r>
    </w:p>
    <w:p w:rsidR="004D514E" w:rsidRPr="00472F3A" w:rsidRDefault="00F1758C" w:rsidP="004E52CF">
      <w:pPr>
        <w:jc w:val="both"/>
        <w:rPr>
          <w:b/>
        </w:rPr>
      </w:pPr>
      <w:r w:rsidRPr="00472F3A">
        <w:rPr>
          <w:b/>
        </w:rPr>
        <w:t xml:space="preserve">Expected </w:t>
      </w:r>
      <w:r w:rsidR="00400B3F" w:rsidRPr="00472F3A">
        <w:rPr>
          <w:b/>
        </w:rPr>
        <w:t>Outcomes</w:t>
      </w:r>
      <w:r w:rsidRPr="00472F3A">
        <w:rPr>
          <w:b/>
        </w:rPr>
        <w:t xml:space="preserve">: </w:t>
      </w:r>
    </w:p>
    <w:p w:rsidR="00400B3F" w:rsidRDefault="00F1758C" w:rsidP="004E52CF">
      <w:pPr>
        <w:numPr>
          <w:ilvl w:val="0"/>
          <w:numId w:val="19"/>
        </w:numPr>
        <w:jc w:val="both"/>
      </w:pPr>
      <w:r>
        <w:t xml:space="preserve">National Societies are well informed about the P&amp;R and the on-going consultation and revision process </w:t>
      </w:r>
    </w:p>
    <w:p w:rsidR="004D514E" w:rsidRDefault="004D514E" w:rsidP="004E52CF">
      <w:pPr>
        <w:numPr>
          <w:ilvl w:val="0"/>
          <w:numId w:val="19"/>
        </w:numPr>
        <w:jc w:val="both"/>
      </w:pPr>
      <w:r>
        <w:t>Wide range of National Societies participate in the consultations (target at least 100)</w:t>
      </w:r>
    </w:p>
    <w:p w:rsidR="00CA5D1F" w:rsidRDefault="00472F3A" w:rsidP="00CA5D1F">
      <w:pPr>
        <w:numPr>
          <w:ilvl w:val="0"/>
          <w:numId w:val="19"/>
        </w:numPr>
        <w:jc w:val="both"/>
      </w:pPr>
      <w:r>
        <w:t>The revised P&amp;R is widely accepted among the National Societies, IFRC and ICRC</w:t>
      </w:r>
    </w:p>
    <w:p w:rsidR="004D514E" w:rsidRDefault="00472F3A" w:rsidP="00CA5D1F">
      <w:pPr>
        <w:ind w:left="720"/>
        <w:jc w:val="both"/>
      </w:pPr>
      <w:r>
        <w:t xml:space="preserve"> </w:t>
      </w:r>
    </w:p>
    <w:p w:rsidR="00472F3A" w:rsidRDefault="00400B3F" w:rsidP="00CA5D1F">
      <w:pPr>
        <w:spacing w:before="0"/>
        <w:jc w:val="both"/>
      </w:pPr>
      <w:r w:rsidRPr="00472F3A">
        <w:rPr>
          <w:b/>
        </w:rPr>
        <w:t>Key messages</w:t>
      </w:r>
      <w:r w:rsidR="00472F3A" w:rsidRPr="00472F3A">
        <w:rPr>
          <w:b/>
        </w:rPr>
        <w:t>:</w:t>
      </w:r>
      <w:r w:rsidRPr="00472F3A">
        <w:rPr>
          <w:b/>
        </w:rPr>
        <w:t xml:space="preserve"> </w:t>
      </w:r>
      <w:r w:rsidR="00472F3A" w:rsidRPr="00472F3A">
        <w:t>ke</w:t>
      </w:r>
      <w:r w:rsidR="00472F3A">
        <w:t xml:space="preserve">y messages will be developed in a phased manner to support the </w:t>
      </w:r>
      <w:r w:rsidR="00472F3A" w:rsidRPr="00472F3A">
        <w:t xml:space="preserve">different </w:t>
      </w:r>
      <w:r w:rsidR="00472F3A">
        <w:t>steps in</w:t>
      </w:r>
      <w:r w:rsidR="00472F3A" w:rsidRPr="00472F3A">
        <w:t xml:space="preserve"> the consultation and revision process</w:t>
      </w:r>
      <w:r w:rsidR="00472F3A">
        <w:t xml:space="preserve">. </w:t>
      </w:r>
    </w:p>
    <w:p w:rsidR="00472F3A" w:rsidRPr="00472F3A" w:rsidRDefault="00472F3A" w:rsidP="00F371A7">
      <w:pPr>
        <w:spacing w:before="0"/>
        <w:jc w:val="both"/>
      </w:pPr>
    </w:p>
    <w:p w:rsidR="00472F3A" w:rsidRDefault="00472F3A" w:rsidP="00CA5D1F">
      <w:pPr>
        <w:spacing w:before="0"/>
        <w:jc w:val="both"/>
        <w:rPr>
          <w:b/>
        </w:rPr>
      </w:pPr>
      <w:r>
        <w:rPr>
          <w:b/>
        </w:rPr>
        <w:t xml:space="preserve">Communication </w:t>
      </w:r>
      <w:r w:rsidR="00400B3F" w:rsidRPr="00472F3A">
        <w:rPr>
          <w:b/>
        </w:rPr>
        <w:t>Tools</w:t>
      </w:r>
      <w:r w:rsidRPr="00472F3A">
        <w:rPr>
          <w:b/>
        </w:rPr>
        <w:t>:</w:t>
      </w:r>
    </w:p>
    <w:p w:rsidR="00472F3A" w:rsidRPr="00472F3A" w:rsidRDefault="00472F3A" w:rsidP="004E52CF">
      <w:pPr>
        <w:numPr>
          <w:ilvl w:val="0"/>
          <w:numId w:val="20"/>
        </w:numPr>
        <w:jc w:val="both"/>
      </w:pPr>
      <w:r w:rsidRPr="00472F3A">
        <w:t xml:space="preserve">IFRC President’s letter </w:t>
      </w:r>
    </w:p>
    <w:p w:rsidR="00472F3A" w:rsidRPr="00472F3A" w:rsidRDefault="00472F3A" w:rsidP="004E52CF">
      <w:pPr>
        <w:numPr>
          <w:ilvl w:val="0"/>
          <w:numId w:val="20"/>
        </w:numPr>
        <w:jc w:val="both"/>
      </w:pPr>
      <w:r w:rsidRPr="00472F3A">
        <w:t>IFRC Secretary General’s letter</w:t>
      </w:r>
    </w:p>
    <w:p w:rsidR="00472F3A" w:rsidRPr="00472F3A" w:rsidRDefault="00472F3A" w:rsidP="004E52CF">
      <w:pPr>
        <w:numPr>
          <w:ilvl w:val="0"/>
          <w:numId w:val="20"/>
        </w:numPr>
        <w:jc w:val="both"/>
      </w:pPr>
      <w:r w:rsidRPr="00472F3A">
        <w:t>Peer networks where the Disaster and Crisis Management Advisory Body members communicate to National Society leaders in their region</w:t>
      </w:r>
    </w:p>
    <w:p w:rsidR="00472F3A" w:rsidRPr="00472F3A" w:rsidRDefault="00472F3A" w:rsidP="004E52CF">
      <w:pPr>
        <w:numPr>
          <w:ilvl w:val="0"/>
          <w:numId w:val="20"/>
        </w:numPr>
        <w:jc w:val="both"/>
      </w:pPr>
      <w:r w:rsidRPr="00472F3A">
        <w:t>Dedicated pages on FedNet</w:t>
      </w:r>
    </w:p>
    <w:p w:rsidR="00400B3F" w:rsidRPr="00472F3A" w:rsidRDefault="00472F3A" w:rsidP="004E52CF">
      <w:pPr>
        <w:numPr>
          <w:ilvl w:val="0"/>
          <w:numId w:val="20"/>
        </w:numPr>
        <w:jc w:val="both"/>
      </w:pPr>
      <w:r w:rsidRPr="00472F3A">
        <w:t xml:space="preserve">Info sheets and other printed materials </w:t>
      </w:r>
    </w:p>
    <w:p w:rsidR="00400B3F" w:rsidRPr="00A058E6" w:rsidRDefault="00400B3F" w:rsidP="00A058E6"/>
    <w:p w:rsidR="002A192F" w:rsidRDefault="002F5B69" w:rsidP="00B80BAB">
      <w:pPr>
        <w:pStyle w:val="Heading1"/>
        <w:numPr>
          <w:ilvl w:val="0"/>
          <w:numId w:val="15"/>
        </w:numPr>
      </w:pPr>
      <w:r>
        <w:br w:type="page"/>
      </w:r>
      <w:bookmarkStart w:id="22" w:name="_Toc319944322"/>
      <w:r w:rsidR="00472F3A">
        <w:t xml:space="preserve">Summary </w:t>
      </w:r>
      <w:r w:rsidR="00EE6CF5">
        <w:t xml:space="preserve">Project </w:t>
      </w:r>
      <w:r w:rsidR="00472F3A">
        <w:t>T</w:t>
      </w:r>
      <w:r w:rsidR="00B80BAB">
        <w:t>imeline</w:t>
      </w:r>
      <w:bookmarkEnd w:id="22"/>
    </w:p>
    <w:p w:rsidR="00F371A7" w:rsidRPr="00A058E6" w:rsidRDefault="00F371A7" w:rsidP="00A058E6">
      <w:r>
        <w:t xml:space="preserve">The consultation and revision process is expected to result in a revised Principles and Rules approved by the General Assembly in 2013. The below timeline </w:t>
      </w:r>
      <w:r w:rsidRPr="002F5B69">
        <w:t xml:space="preserve">(Figure </w:t>
      </w:r>
      <w:r w:rsidR="002F5B69" w:rsidRPr="002F5B69">
        <w:t>2</w:t>
      </w:r>
      <w:r w:rsidRPr="002F5B69">
        <w:t>)</w:t>
      </w:r>
      <w:r>
        <w:t xml:space="preserve"> presents the key steps and milestones of the process. The consultation and revision project timeline reaches only until the end 2013. However, further activities in dissemination, consultation with Governments (towards International Conference 2015) and on a possible development </w:t>
      </w:r>
      <w:r w:rsidR="00D265E2">
        <w:t>of compliance</w:t>
      </w:r>
      <w:r>
        <w:t xml:space="preserve"> mechanism are foreseen beyond 2013. </w:t>
      </w:r>
    </w:p>
    <w:p w:rsidR="00F7118C" w:rsidRDefault="00682D4C" w:rsidP="002A192F">
      <w:pPr>
        <w:pStyle w:val="Heading1"/>
        <w:rPr>
          <w:rFonts w:ascii="Arial" w:hAnsi="Arial"/>
          <w:color w:val="auto"/>
          <w:sz w:val="22"/>
        </w:rPr>
      </w:pPr>
      <w:r>
        <w:rPr>
          <w:rFonts w:ascii="Arial" w:hAnsi="Arial"/>
          <w:noProof/>
          <w:color w:val="auto"/>
          <w:sz w:val="22"/>
          <w:lang w:val="en-GB" w:eastAsia="en-GB"/>
        </w:rPr>
        <w:drawing>
          <wp:inline distT="0" distB="0" distL="0" distR="0">
            <wp:extent cx="5943600" cy="2876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43600" cy="2876550"/>
                    </a:xfrm>
                    <a:prstGeom prst="rect">
                      <a:avLst/>
                    </a:prstGeom>
                    <a:noFill/>
                    <a:ln w="9525">
                      <a:noFill/>
                      <a:miter lim="800000"/>
                      <a:headEnd/>
                      <a:tailEnd/>
                    </a:ln>
                  </pic:spPr>
                </pic:pic>
              </a:graphicData>
            </a:graphic>
          </wp:inline>
        </w:drawing>
      </w:r>
    </w:p>
    <w:p w:rsidR="00D265E2" w:rsidRPr="00D265E2" w:rsidRDefault="002F5B69" w:rsidP="00586BCF">
      <w:pPr>
        <w:rPr>
          <w:b/>
        </w:rPr>
      </w:pPr>
      <w:r>
        <w:rPr>
          <w:b/>
        </w:rPr>
        <w:t>Figure 2</w:t>
      </w:r>
      <w:r w:rsidR="00D265E2" w:rsidRPr="00D265E2">
        <w:rPr>
          <w:b/>
        </w:rPr>
        <w:t>.</w:t>
      </w:r>
      <w:r w:rsidR="00D265E2">
        <w:rPr>
          <w:b/>
        </w:rPr>
        <w:t xml:space="preserve"> </w:t>
      </w:r>
      <w:r w:rsidR="00D265E2" w:rsidRPr="00D265E2">
        <w:t xml:space="preserve">Summary </w:t>
      </w:r>
      <w:r w:rsidR="00D265E2">
        <w:t>timeline for the project 2011-2013</w:t>
      </w:r>
    </w:p>
    <w:p w:rsidR="00D265E2" w:rsidRDefault="00D265E2">
      <w:pPr>
        <w:pStyle w:val="Heading1"/>
        <w:ind w:left="360"/>
      </w:pPr>
    </w:p>
    <w:p w:rsidR="00A217B5" w:rsidRDefault="00EE6CF5" w:rsidP="00A217B5">
      <w:pPr>
        <w:pStyle w:val="Heading1"/>
        <w:numPr>
          <w:ilvl w:val="0"/>
          <w:numId w:val="15"/>
        </w:numPr>
      </w:pPr>
      <w:bookmarkStart w:id="23" w:name="_Toc319944323"/>
      <w:r>
        <w:t>Project</w:t>
      </w:r>
      <w:r w:rsidR="00A217B5">
        <w:t xml:space="preserve"> Budget</w:t>
      </w:r>
      <w:bookmarkEnd w:id="23"/>
    </w:p>
    <w:p w:rsidR="0035276A" w:rsidRPr="00D265E2" w:rsidRDefault="009C2F80" w:rsidP="002F5B69">
      <w:r>
        <w:t>The belo</w:t>
      </w:r>
      <w:r w:rsidR="002F5B69">
        <w:t>w tentative budget (Table 4.) reflects e</w:t>
      </w:r>
      <w:r>
        <w:t>stimate costs of the Principles and Rules consultation and revision process:</w:t>
      </w:r>
    </w:p>
    <w:tbl>
      <w:tblPr>
        <w:tblW w:w="0" w:type="auto"/>
        <w:tblCellMar>
          <w:left w:w="0" w:type="dxa"/>
          <w:right w:w="0" w:type="dxa"/>
        </w:tblCellMar>
        <w:tblLook w:val="04A0"/>
      </w:tblPr>
      <w:tblGrid>
        <w:gridCol w:w="4670"/>
        <w:gridCol w:w="4260"/>
      </w:tblGrid>
      <w:tr w:rsidR="00D265E2" w:rsidTr="00D265E2">
        <w:trPr>
          <w:trHeight w:val="580"/>
        </w:trPr>
        <w:tc>
          <w:tcPr>
            <w:tcW w:w="4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65E2" w:rsidRDefault="00D265E2">
            <w:pPr>
              <w:rPr>
                <w:rFonts w:eastAsiaTheme="minorHAnsi" w:cs="Arial"/>
                <w:sz w:val="20"/>
                <w:szCs w:val="20"/>
              </w:rPr>
            </w:pPr>
            <w:r>
              <w:rPr>
                <w:rFonts w:cs="Arial"/>
                <w:sz w:val="20"/>
                <w:szCs w:val="20"/>
              </w:rPr>
              <w:t>Regional NS consultations through the five zones (5 workshops) – contribution of CHF20,000 per Zone</w:t>
            </w:r>
          </w:p>
        </w:tc>
        <w:tc>
          <w:tcPr>
            <w:tcW w:w="4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65E2" w:rsidRDefault="00D265E2">
            <w:pPr>
              <w:rPr>
                <w:rFonts w:eastAsiaTheme="minorHAnsi" w:cs="Arial"/>
                <w:sz w:val="20"/>
                <w:szCs w:val="20"/>
              </w:rPr>
            </w:pPr>
            <w:r>
              <w:rPr>
                <w:rFonts w:cs="Arial"/>
                <w:sz w:val="20"/>
                <w:szCs w:val="20"/>
              </w:rPr>
              <w:t>CHF 100 000</w:t>
            </w:r>
          </w:p>
        </w:tc>
      </w:tr>
      <w:tr w:rsidR="00D265E2" w:rsidTr="00D265E2">
        <w:trPr>
          <w:trHeight w:val="418"/>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5E2" w:rsidRDefault="00D265E2">
            <w:pPr>
              <w:rPr>
                <w:rFonts w:eastAsiaTheme="minorHAnsi" w:cs="Arial"/>
                <w:sz w:val="20"/>
                <w:szCs w:val="20"/>
              </w:rPr>
            </w:pPr>
            <w:r>
              <w:rPr>
                <w:rFonts w:cs="Arial"/>
                <w:sz w:val="20"/>
                <w:szCs w:val="20"/>
              </w:rPr>
              <w:t>Document translation, editing and publication</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65E2" w:rsidRDefault="00D265E2">
            <w:pPr>
              <w:rPr>
                <w:rFonts w:eastAsiaTheme="minorHAnsi" w:cs="Arial"/>
                <w:sz w:val="20"/>
                <w:szCs w:val="20"/>
              </w:rPr>
            </w:pPr>
            <w:r>
              <w:rPr>
                <w:rFonts w:cs="Arial"/>
                <w:sz w:val="20"/>
                <w:szCs w:val="20"/>
              </w:rPr>
              <w:t>CHF 25 000</w:t>
            </w:r>
          </w:p>
        </w:tc>
      </w:tr>
      <w:tr w:rsidR="00D265E2" w:rsidTr="00D265E2">
        <w:trPr>
          <w:trHeight w:val="408"/>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5E2" w:rsidRDefault="00D265E2">
            <w:pPr>
              <w:rPr>
                <w:rFonts w:eastAsiaTheme="minorHAnsi" w:cs="Arial"/>
                <w:sz w:val="20"/>
                <w:szCs w:val="20"/>
              </w:rPr>
            </w:pPr>
            <w:r>
              <w:rPr>
                <w:rFonts w:cs="Arial"/>
                <w:sz w:val="20"/>
                <w:szCs w:val="20"/>
              </w:rPr>
              <w:t xml:space="preserve">Staff cost (Senior Officer for the period of April 2012 </w:t>
            </w:r>
            <w:r w:rsidR="0035276A">
              <w:rPr>
                <w:rFonts w:cs="Arial"/>
                <w:sz w:val="20"/>
                <w:szCs w:val="20"/>
              </w:rPr>
              <w:t>–</w:t>
            </w:r>
            <w:r>
              <w:rPr>
                <w:rFonts w:cs="Arial"/>
                <w:sz w:val="20"/>
                <w:szCs w:val="20"/>
              </w:rPr>
              <w:t xml:space="preserve"> Dec 2013)</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65E2" w:rsidRDefault="00D265E2">
            <w:pPr>
              <w:rPr>
                <w:rFonts w:eastAsiaTheme="minorHAnsi" w:cs="Arial"/>
                <w:sz w:val="20"/>
                <w:szCs w:val="20"/>
              </w:rPr>
            </w:pPr>
            <w:r>
              <w:rPr>
                <w:rFonts w:cs="Arial"/>
                <w:sz w:val="20"/>
                <w:szCs w:val="20"/>
              </w:rPr>
              <w:t>CHF 312 000</w:t>
            </w:r>
          </w:p>
        </w:tc>
      </w:tr>
      <w:tr w:rsidR="00D265E2" w:rsidTr="00D265E2">
        <w:trPr>
          <w:trHeight w:val="408"/>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5E2" w:rsidRDefault="0035276A">
            <w:pPr>
              <w:rPr>
                <w:rFonts w:cs="Arial"/>
                <w:sz w:val="20"/>
                <w:szCs w:val="20"/>
              </w:rPr>
            </w:pPr>
            <w:r>
              <w:rPr>
                <w:rFonts w:cs="Arial"/>
                <w:sz w:val="20"/>
                <w:szCs w:val="20"/>
              </w:rPr>
              <w:t>Staff cost (Intern for 9 months)</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65E2" w:rsidRDefault="0035276A">
            <w:pPr>
              <w:rPr>
                <w:rFonts w:cs="Arial"/>
                <w:sz w:val="20"/>
                <w:szCs w:val="20"/>
              </w:rPr>
            </w:pPr>
            <w:r>
              <w:rPr>
                <w:rFonts w:cs="Arial"/>
                <w:sz w:val="20"/>
                <w:szCs w:val="20"/>
              </w:rPr>
              <w:t>CHF 15 000</w:t>
            </w:r>
          </w:p>
        </w:tc>
      </w:tr>
      <w:tr w:rsidR="0035276A" w:rsidTr="00D265E2">
        <w:trPr>
          <w:trHeight w:val="408"/>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276A" w:rsidRDefault="0035276A">
            <w:pPr>
              <w:rPr>
                <w:rFonts w:cs="Arial"/>
                <w:sz w:val="20"/>
                <w:szCs w:val="20"/>
              </w:rPr>
            </w:pPr>
            <w:r>
              <w:rPr>
                <w:rFonts w:cs="Arial"/>
                <w:sz w:val="20"/>
                <w:szCs w:val="20"/>
              </w:rPr>
              <w:t>Travel (for the consultation meetings)</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5276A" w:rsidRDefault="0035276A">
            <w:pPr>
              <w:rPr>
                <w:rFonts w:cs="Arial"/>
                <w:sz w:val="20"/>
                <w:szCs w:val="20"/>
              </w:rPr>
            </w:pPr>
            <w:r>
              <w:rPr>
                <w:rFonts w:cs="Arial"/>
                <w:sz w:val="20"/>
                <w:szCs w:val="20"/>
              </w:rPr>
              <w:t>CHF 20 000</w:t>
            </w:r>
          </w:p>
        </w:tc>
      </w:tr>
      <w:tr w:rsidR="00D265E2" w:rsidTr="00D265E2">
        <w:trPr>
          <w:trHeight w:val="412"/>
        </w:trPr>
        <w:tc>
          <w:tcPr>
            <w:tcW w:w="4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65E2" w:rsidRDefault="00D265E2">
            <w:pPr>
              <w:rPr>
                <w:rFonts w:eastAsiaTheme="minorHAnsi" w:cs="Arial"/>
                <w:b/>
                <w:bCs/>
                <w:sz w:val="20"/>
                <w:szCs w:val="20"/>
              </w:rPr>
            </w:pPr>
            <w:r>
              <w:rPr>
                <w:rFonts w:cs="Arial"/>
                <w:b/>
                <w:bCs/>
                <w:sz w:val="20"/>
                <w:szCs w:val="20"/>
              </w:rPr>
              <w:t>Total</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65E2" w:rsidRDefault="00D265E2" w:rsidP="0035276A">
            <w:pPr>
              <w:rPr>
                <w:rFonts w:eastAsiaTheme="minorHAnsi" w:cs="Arial"/>
                <w:b/>
                <w:bCs/>
                <w:sz w:val="20"/>
                <w:szCs w:val="20"/>
                <w:u w:val="single"/>
              </w:rPr>
            </w:pPr>
            <w:r>
              <w:rPr>
                <w:rFonts w:cs="Arial"/>
                <w:b/>
                <w:bCs/>
                <w:sz w:val="20"/>
                <w:szCs w:val="20"/>
                <w:u w:val="single"/>
              </w:rPr>
              <w:t xml:space="preserve">CHF </w:t>
            </w:r>
            <w:r w:rsidR="0035276A">
              <w:rPr>
                <w:rFonts w:cs="Arial"/>
                <w:b/>
                <w:bCs/>
                <w:sz w:val="20"/>
                <w:szCs w:val="20"/>
                <w:u w:val="single"/>
              </w:rPr>
              <w:t>472 000</w:t>
            </w:r>
          </w:p>
        </w:tc>
      </w:tr>
    </w:tbl>
    <w:p w:rsidR="00CA5D1F" w:rsidRPr="002F5B69" w:rsidRDefault="002F5B69" w:rsidP="002F5B69">
      <w:pPr>
        <w:rPr>
          <w:sz w:val="20"/>
          <w:szCs w:val="20"/>
        </w:rPr>
      </w:pPr>
      <w:r w:rsidRPr="002F5B69">
        <w:rPr>
          <w:b/>
          <w:sz w:val="20"/>
          <w:szCs w:val="20"/>
        </w:rPr>
        <w:t xml:space="preserve">Table 4. </w:t>
      </w:r>
      <w:r w:rsidRPr="002F5B69">
        <w:rPr>
          <w:sz w:val="20"/>
          <w:szCs w:val="20"/>
        </w:rPr>
        <w:t>Estimate budget for the P&amp;R consultation and revision project 2012</w:t>
      </w:r>
      <w:r>
        <w:rPr>
          <w:sz w:val="20"/>
          <w:szCs w:val="20"/>
        </w:rPr>
        <w:t xml:space="preserve"> </w:t>
      </w:r>
      <w:r w:rsidRPr="002F5B69">
        <w:rPr>
          <w:sz w:val="20"/>
          <w:szCs w:val="20"/>
        </w:rPr>
        <w:t>-</w:t>
      </w:r>
      <w:r>
        <w:rPr>
          <w:sz w:val="20"/>
          <w:szCs w:val="20"/>
        </w:rPr>
        <w:t xml:space="preserve"> </w:t>
      </w:r>
      <w:r w:rsidRPr="002F5B69">
        <w:rPr>
          <w:sz w:val="20"/>
          <w:szCs w:val="20"/>
        </w:rPr>
        <w:t>2013</w:t>
      </w:r>
    </w:p>
    <w:p w:rsidR="00D17C67" w:rsidRPr="004E52CF" w:rsidRDefault="00D17C67" w:rsidP="004E52CF">
      <w:pPr>
        <w:pStyle w:val="Heading1"/>
        <w:rPr>
          <w:rFonts w:ascii="Arial" w:hAnsi="Arial"/>
        </w:rPr>
      </w:pPr>
    </w:p>
    <w:sectPr w:rsidR="00D17C67" w:rsidRPr="004E52CF" w:rsidSect="00D17C67">
      <w:headerReference w:type="default" r:id="rId11"/>
      <w:footerReference w:type="default" r:id="rId12"/>
      <w:footerReference w:type="first" r:id="rId13"/>
      <w:pgSz w:w="11900" w:h="16840"/>
      <w:pgMar w:top="567" w:right="1134" w:bottom="1701" w:left="1134"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4D" w:rsidRDefault="00A13B4D">
      <w:r>
        <w:separator/>
      </w:r>
    </w:p>
    <w:p w:rsidR="00A13B4D" w:rsidRDefault="00A13B4D"/>
    <w:p w:rsidR="00A13B4D" w:rsidRDefault="00A13B4D"/>
  </w:endnote>
  <w:endnote w:type="continuationSeparator" w:id="0">
    <w:p w:rsidR="00A13B4D" w:rsidRDefault="00A13B4D">
      <w:r>
        <w:continuationSeparator/>
      </w:r>
    </w:p>
    <w:p w:rsidR="00A13B4D" w:rsidRDefault="00A13B4D"/>
    <w:p w:rsidR="00A13B4D" w:rsidRDefault="00A13B4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80" w:rsidRDefault="00682D4C">
    <w:pPr>
      <w:pStyle w:val="Footer"/>
    </w:pPr>
    <w:r>
      <w:rPr>
        <w:noProof/>
        <w:lang w:val="en-GB" w:eastAsia="en-GB"/>
      </w:rPr>
      <w:drawing>
        <wp:anchor distT="0" distB="0" distL="114300" distR="114300" simplePos="0" relativeHeight="251657216" behindDoc="0" locked="0" layoutInCell="1" allowOverlap="1">
          <wp:simplePos x="0" y="0"/>
          <wp:positionH relativeFrom="column">
            <wp:posOffset>-1075055</wp:posOffset>
          </wp:positionH>
          <wp:positionV relativeFrom="paragraph">
            <wp:posOffset>-532130</wp:posOffset>
          </wp:positionV>
          <wp:extent cx="7424420" cy="1150620"/>
          <wp:effectExtent l="19050" t="0" r="5080" b="0"/>
          <wp:wrapTight wrapText="bothSides">
            <wp:wrapPolygon edited="0">
              <wp:start x="-55" y="0"/>
              <wp:lineTo x="-55" y="21099"/>
              <wp:lineTo x="21615" y="21099"/>
              <wp:lineTo x="21615" y="0"/>
              <wp:lineTo x="-55" y="0"/>
            </wp:wrapPolygon>
          </wp:wrapTight>
          <wp:docPr id="2" name="Picture 6" descr="IFRC-corpor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FRC-corporate-footer.jpg"/>
                  <pic:cNvPicPr>
                    <a:picLocks noChangeAspect="1" noChangeArrowheads="1"/>
                  </pic:cNvPicPr>
                </pic:nvPicPr>
                <pic:blipFill>
                  <a:blip r:embed="rId1"/>
                  <a:srcRect/>
                  <a:stretch>
                    <a:fillRect/>
                  </a:stretch>
                </pic:blipFill>
                <pic:spPr bwMode="auto">
                  <a:xfrm>
                    <a:off x="0" y="0"/>
                    <a:ext cx="7424420" cy="1150620"/>
                  </a:xfrm>
                  <a:prstGeom prst="rect">
                    <a:avLst/>
                  </a:prstGeom>
                  <a:noFill/>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80" w:rsidRDefault="00682D4C">
    <w:pPr>
      <w:pStyle w:val="Footer"/>
    </w:pPr>
    <w:r>
      <w:rPr>
        <w:noProof/>
        <w:lang w:val="en-GB" w:eastAsia="en-GB"/>
      </w:rPr>
      <w:drawing>
        <wp:anchor distT="0" distB="0" distL="114300" distR="114300" simplePos="0" relativeHeight="251658240" behindDoc="0" locked="0" layoutInCell="1" allowOverlap="1">
          <wp:simplePos x="0" y="0"/>
          <wp:positionH relativeFrom="column">
            <wp:posOffset>-1074420</wp:posOffset>
          </wp:positionH>
          <wp:positionV relativeFrom="paragraph">
            <wp:posOffset>-531495</wp:posOffset>
          </wp:positionV>
          <wp:extent cx="7425055" cy="1151255"/>
          <wp:effectExtent l="19050" t="0" r="4445" b="0"/>
          <wp:wrapTight wrapText="bothSides">
            <wp:wrapPolygon edited="0">
              <wp:start x="-55" y="0"/>
              <wp:lineTo x="-55" y="21088"/>
              <wp:lineTo x="21613" y="21088"/>
              <wp:lineTo x="21613" y="0"/>
              <wp:lineTo x="-55" y="0"/>
            </wp:wrapPolygon>
          </wp:wrapTight>
          <wp:docPr id="1" name="Picture 1" descr="IFRC-corpor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RC-corporate-footer.jpg"/>
                  <pic:cNvPicPr>
                    <a:picLocks noChangeAspect="1" noChangeArrowheads="1"/>
                  </pic:cNvPicPr>
                </pic:nvPicPr>
                <pic:blipFill>
                  <a:blip r:embed="rId1"/>
                  <a:srcRect/>
                  <a:stretch>
                    <a:fillRect/>
                  </a:stretch>
                </pic:blipFill>
                <pic:spPr bwMode="auto">
                  <a:xfrm>
                    <a:off x="0" y="0"/>
                    <a:ext cx="7425055" cy="115125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4D" w:rsidRDefault="00A13B4D">
      <w:r>
        <w:separator/>
      </w:r>
    </w:p>
    <w:p w:rsidR="00A13B4D" w:rsidRDefault="00A13B4D"/>
    <w:p w:rsidR="00A13B4D" w:rsidRDefault="00A13B4D"/>
  </w:footnote>
  <w:footnote w:type="continuationSeparator" w:id="0">
    <w:p w:rsidR="00A13B4D" w:rsidRDefault="00A13B4D">
      <w:r>
        <w:continuationSeparator/>
      </w:r>
    </w:p>
    <w:p w:rsidR="00A13B4D" w:rsidRDefault="00A13B4D"/>
    <w:p w:rsidR="00A13B4D" w:rsidRDefault="00A13B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80" w:rsidRPr="00895C69" w:rsidRDefault="009C2F80" w:rsidP="00D17C67">
    <w:pPr>
      <w:pStyle w:val="BasicParagraph"/>
      <w:pBdr>
        <w:bottom w:val="single" w:sz="6" w:space="1" w:color="auto"/>
      </w:pBdr>
      <w:ind w:right="-96"/>
      <w:rPr>
        <w:rFonts w:ascii="Arial" w:hAnsi="Arial"/>
        <w:sz w:val="16"/>
      </w:rPr>
    </w:pPr>
    <w:r w:rsidRPr="00895C69">
      <w:rPr>
        <w:rFonts w:ascii="Arial" w:hAnsi="Arial" w:cs="Caecilia-Light"/>
        <w:color w:val="FF0000"/>
        <w:sz w:val="16"/>
        <w:szCs w:val="14"/>
        <w:lang w:val="en-US"/>
      </w:rPr>
      <w:t>International Federation of Red Cross and Red Crescent Societies</w:t>
    </w:r>
    <w:r w:rsidRPr="00895C69">
      <w:rPr>
        <w:rFonts w:ascii="Arial" w:hAnsi="Arial" w:cs="Caecilia-Light"/>
        <w:color w:val="FF0000"/>
        <w:sz w:val="16"/>
        <w:szCs w:val="14"/>
        <w:lang w:val="en-US"/>
      </w:rPr>
      <w:br/>
    </w:r>
    <w:r w:rsidR="00181628" w:rsidRPr="00895C69">
      <w:rPr>
        <w:rStyle w:val="PageNumber"/>
        <w:rFonts w:ascii="Arial" w:hAnsi="Arial" w:cs="Arial"/>
        <w:b/>
        <w:bCs/>
        <w:sz w:val="16"/>
        <w:szCs w:val="16"/>
      </w:rPr>
      <w:fldChar w:fldCharType="begin"/>
    </w:r>
    <w:r w:rsidRPr="00895C69">
      <w:rPr>
        <w:rStyle w:val="PageNumber"/>
        <w:rFonts w:ascii="Arial" w:hAnsi="Arial" w:cs="Arial"/>
        <w:b/>
        <w:bCs/>
        <w:sz w:val="16"/>
        <w:szCs w:val="16"/>
      </w:rPr>
      <w:instrText xml:space="preserve"> PAGE </w:instrText>
    </w:r>
    <w:r w:rsidR="00181628" w:rsidRPr="00895C69">
      <w:rPr>
        <w:rStyle w:val="PageNumber"/>
        <w:rFonts w:ascii="Arial" w:hAnsi="Arial" w:cs="Arial"/>
        <w:b/>
        <w:bCs/>
        <w:sz w:val="16"/>
        <w:szCs w:val="16"/>
      </w:rPr>
      <w:fldChar w:fldCharType="separate"/>
    </w:r>
    <w:r w:rsidR="004D3DF4">
      <w:rPr>
        <w:rStyle w:val="PageNumber"/>
        <w:rFonts w:ascii="Arial" w:hAnsi="Arial" w:cs="Arial"/>
        <w:b/>
        <w:bCs/>
        <w:noProof/>
        <w:sz w:val="16"/>
        <w:szCs w:val="16"/>
      </w:rPr>
      <w:t>9</w:t>
    </w:r>
    <w:r w:rsidR="00181628" w:rsidRPr="00895C69">
      <w:rPr>
        <w:rStyle w:val="PageNumber"/>
        <w:rFonts w:ascii="Arial" w:hAnsi="Arial" w:cs="Arial"/>
        <w:b/>
        <w:bCs/>
        <w:sz w:val="16"/>
        <w:szCs w:val="16"/>
      </w:rPr>
      <w:fldChar w:fldCharType="end"/>
    </w:r>
    <w:r w:rsidRPr="00895C69">
      <w:rPr>
        <w:rStyle w:val="PageNumber"/>
        <w:rFonts w:ascii="Arial" w:hAnsi="Arial" w:cs="Arial"/>
        <w:b/>
        <w:bCs/>
        <w:sz w:val="16"/>
        <w:szCs w:val="16"/>
      </w:rPr>
      <w:t xml:space="preserve"> </w:t>
    </w:r>
    <w:r w:rsidRPr="00895C69">
      <w:rPr>
        <w:rStyle w:val="PageNumber"/>
        <w:rFonts w:ascii="Arial" w:hAnsi="Arial" w:cs="Arial"/>
        <w:b/>
        <w:bCs/>
        <w:color w:val="FF0000"/>
        <w:sz w:val="16"/>
        <w:szCs w:val="16"/>
      </w:rPr>
      <w:t>I</w:t>
    </w:r>
    <w:r w:rsidRPr="00895C69">
      <w:rPr>
        <w:rStyle w:val="PageNumber"/>
        <w:rFonts w:ascii="Arial" w:hAnsi="Arial" w:cs="Arial"/>
        <w:color w:val="FF0000"/>
        <w:sz w:val="16"/>
        <w:szCs w:val="16"/>
      </w:rPr>
      <w:t xml:space="preserve"> </w:t>
    </w:r>
    <w:r>
      <w:rPr>
        <w:rFonts w:ascii="Arial" w:hAnsi="Arial"/>
        <w:b/>
        <w:sz w:val="16"/>
      </w:rPr>
      <w:t xml:space="preserve">Principles and Rules for Disaster Relief / </w:t>
    </w:r>
    <w:r>
      <w:rPr>
        <w:rFonts w:ascii="Arial" w:hAnsi="Arial"/>
        <w:b/>
        <w:color w:val="FF0000"/>
        <w:sz w:val="16"/>
      </w:rPr>
      <w:t>Geneva</w:t>
    </w:r>
    <w:r>
      <w:rPr>
        <w:rFonts w:ascii="Arial" w:hAnsi="Arial"/>
        <w:b/>
        <w:sz w:val="16"/>
      </w:rPr>
      <w:t xml:space="preserve"> / </w:t>
    </w:r>
    <w:r w:rsidR="002F5B69">
      <w:rPr>
        <w:rFonts w:ascii="Arial" w:hAnsi="Arial"/>
        <w:b/>
        <w:color w:val="7F7F7F"/>
        <w:sz w:val="16"/>
      </w:rPr>
      <w:t xml:space="preserve">March </w:t>
    </w:r>
    <w:r>
      <w:rPr>
        <w:rFonts w:ascii="Arial" w:hAnsi="Arial"/>
        <w:b/>
        <w:color w:val="7F7F7F"/>
        <w:sz w:val="16"/>
      </w:rPr>
      <w:t>2012</w:t>
    </w:r>
  </w:p>
  <w:p w:rsidR="009C2F80" w:rsidRDefault="009C2F80" w:rsidP="00D17C67"/>
  <w:p w:rsidR="009C2F80" w:rsidRDefault="009C2F8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6121D64"/>
    <w:lvl w:ilvl="0">
      <w:start w:val="1"/>
      <w:numFmt w:val="decimal"/>
      <w:pStyle w:val="ListNumber"/>
      <w:lvlText w:val="%1."/>
      <w:lvlJc w:val="left"/>
      <w:pPr>
        <w:tabs>
          <w:tab w:val="num" w:pos="360"/>
        </w:tabs>
        <w:ind w:left="360" w:hanging="360"/>
      </w:pPr>
    </w:lvl>
  </w:abstractNum>
  <w:abstractNum w:abstractNumId="1">
    <w:nsid w:val="00EF097E"/>
    <w:multiLevelType w:val="hybridMultilevel"/>
    <w:tmpl w:val="A01CF1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8A6944"/>
    <w:multiLevelType w:val="hybridMultilevel"/>
    <w:tmpl w:val="2250A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445D9D"/>
    <w:multiLevelType w:val="hybridMultilevel"/>
    <w:tmpl w:val="D3ECA93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nsid w:val="168A6417"/>
    <w:multiLevelType w:val="hybridMultilevel"/>
    <w:tmpl w:val="CED8B416"/>
    <w:lvl w:ilvl="0" w:tplc="228232AC">
      <w:start w:val="1"/>
      <w:numFmt w:val="decimal"/>
      <w:lvlText w:val="%1)"/>
      <w:lvlJc w:val="left"/>
      <w:pPr>
        <w:ind w:left="1495" w:hanging="360"/>
      </w:pPr>
      <w:rPr>
        <w:rFonts w:ascii="Calibri" w:hAnsi="Calibri" w:hint="default"/>
        <w:b/>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5">
    <w:nsid w:val="1C08194F"/>
    <w:multiLevelType w:val="hybridMultilevel"/>
    <w:tmpl w:val="32A4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540D37"/>
    <w:multiLevelType w:val="hybridMultilevel"/>
    <w:tmpl w:val="4C6EA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F3E0AE8"/>
    <w:multiLevelType w:val="hybridMultilevel"/>
    <w:tmpl w:val="F878A9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477062A"/>
    <w:multiLevelType w:val="multilevel"/>
    <w:tmpl w:val="AD58BFB6"/>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6B67017"/>
    <w:multiLevelType w:val="hybridMultilevel"/>
    <w:tmpl w:val="8E6092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7F36AEF"/>
    <w:multiLevelType w:val="hybridMultilevel"/>
    <w:tmpl w:val="C92AEEB2"/>
    <w:lvl w:ilvl="0" w:tplc="D1D80D0C">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3F4F86"/>
    <w:multiLevelType w:val="hybridMultilevel"/>
    <w:tmpl w:val="24D2E6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2E7F69"/>
    <w:multiLevelType w:val="hybridMultilevel"/>
    <w:tmpl w:val="E29E850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4">
    <w:nsid w:val="5DCD5E59"/>
    <w:multiLevelType w:val="hybridMultilevel"/>
    <w:tmpl w:val="59B61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B5A1FA0"/>
    <w:multiLevelType w:val="hybridMultilevel"/>
    <w:tmpl w:val="DEC021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7069E0"/>
    <w:multiLevelType w:val="hybridMultilevel"/>
    <w:tmpl w:val="BFFCB0A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8">
    <w:nsid w:val="77183763"/>
    <w:multiLevelType w:val="hybridMultilevel"/>
    <w:tmpl w:val="A636D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287877"/>
    <w:multiLevelType w:val="hybridMultilevel"/>
    <w:tmpl w:val="8D767620"/>
    <w:lvl w:ilvl="0" w:tplc="2542AB1A">
      <w:start w:val="1"/>
      <w:numFmt w:val="decimal"/>
      <w:lvlText w:val="%1."/>
      <w:lvlJc w:val="left"/>
      <w:pPr>
        <w:ind w:left="720" w:hanging="360"/>
      </w:pPr>
      <w:rPr>
        <w:rFonts w:ascii="Arial Bold" w:hAnsi="Arial Bold"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5118D4"/>
    <w:multiLevelType w:val="hybridMultilevel"/>
    <w:tmpl w:val="1D0E0362"/>
    <w:lvl w:ilvl="0" w:tplc="FE56D3D4">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360"/>
        </w:tabs>
        <w:ind w:left="36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num>
  <w:num w:numId="2">
    <w:abstractNumId w:val="6"/>
  </w:num>
  <w:num w:numId="3">
    <w:abstractNumId w:val="12"/>
  </w:num>
  <w:num w:numId="4">
    <w:abstractNumId w:val="19"/>
  </w:num>
  <w:num w:numId="5">
    <w:abstractNumId w:val="0"/>
  </w:num>
  <w:num w:numId="6">
    <w:abstractNumId w:val="8"/>
  </w:num>
  <w:num w:numId="7">
    <w:abstractNumId w:val="18"/>
  </w:num>
  <w:num w:numId="8">
    <w:abstractNumId w:val="2"/>
  </w:num>
  <w:num w:numId="9">
    <w:abstractNumId w:val="14"/>
  </w:num>
  <w:num w:numId="10">
    <w:abstractNumId w:val="10"/>
  </w:num>
  <w:num w:numId="11">
    <w:abstractNumId w:val="7"/>
  </w:num>
  <w:num w:numId="12">
    <w:abstractNumId w:val="11"/>
  </w:num>
  <w:num w:numId="13">
    <w:abstractNumId w:val="20"/>
  </w:num>
  <w:num w:numId="14">
    <w:abstractNumId w:val="4"/>
  </w:num>
  <w:num w:numId="15">
    <w:abstractNumId w:val="9"/>
  </w:num>
  <w:num w:numId="16">
    <w:abstractNumId w:val="3"/>
  </w:num>
  <w:num w:numId="17">
    <w:abstractNumId w:val="13"/>
  </w:num>
  <w:num w:numId="18">
    <w:abstractNumId w:val="5"/>
  </w:num>
  <w:num w:numId="19">
    <w:abstractNumId w:val="15"/>
  </w:num>
  <w:num w:numId="20">
    <w:abstractNumId w:val="1"/>
  </w:num>
  <w:num w:numId="21">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trackRevision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3554"/>
  </w:hdrShapeDefaults>
  <w:footnotePr>
    <w:footnote w:id="-1"/>
    <w:footnote w:id="0"/>
  </w:footnotePr>
  <w:endnotePr>
    <w:endnote w:id="-1"/>
    <w:endnote w:id="0"/>
  </w:endnotePr>
  <w:compat/>
  <w:rsids>
    <w:rsidRoot w:val="00D17C67"/>
    <w:rsid w:val="00102F65"/>
    <w:rsid w:val="00163BC7"/>
    <w:rsid w:val="00173D41"/>
    <w:rsid w:val="00181628"/>
    <w:rsid w:val="00190410"/>
    <w:rsid w:val="002066E8"/>
    <w:rsid w:val="0022004F"/>
    <w:rsid w:val="00245E19"/>
    <w:rsid w:val="00263C65"/>
    <w:rsid w:val="00265AC9"/>
    <w:rsid w:val="00285D4B"/>
    <w:rsid w:val="002942E3"/>
    <w:rsid w:val="002A192F"/>
    <w:rsid w:val="002B7C8A"/>
    <w:rsid w:val="002F5B69"/>
    <w:rsid w:val="0035276A"/>
    <w:rsid w:val="003B4736"/>
    <w:rsid w:val="003D552D"/>
    <w:rsid w:val="003D7558"/>
    <w:rsid w:val="00400B3F"/>
    <w:rsid w:val="00403960"/>
    <w:rsid w:val="00420B7C"/>
    <w:rsid w:val="004614CB"/>
    <w:rsid w:val="00472F3A"/>
    <w:rsid w:val="0049621B"/>
    <w:rsid w:val="0049752D"/>
    <w:rsid w:val="004A1015"/>
    <w:rsid w:val="004D0E5C"/>
    <w:rsid w:val="004D3DF4"/>
    <w:rsid w:val="004D514E"/>
    <w:rsid w:val="004E52CF"/>
    <w:rsid w:val="00524F18"/>
    <w:rsid w:val="005552DC"/>
    <w:rsid w:val="005668A7"/>
    <w:rsid w:val="00567DAA"/>
    <w:rsid w:val="00586409"/>
    <w:rsid w:val="00586BCF"/>
    <w:rsid w:val="00596AB3"/>
    <w:rsid w:val="005B0262"/>
    <w:rsid w:val="0061552F"/>
    <w:rsid w:val="00616E36"/>
    <w:rsid w:val="00622743"/>
    <w:rsid w:val="006269C7"/>
    <w:rsid w:val="0063556C"/>
    <w:rsid w:val="00640D79"/>
    <w:rsid w:val="006654EF"/>
    <w:rsid w:val="00682D4C"/>
    <w:rsid w:val="006842CB"/>
    <w:rsid w:val="006B2EA9"/>
    <w:rsid w:val="00710C8E"/>
    <w:rsid w:val="0073118D"/>
    <w:rsid w:val="00753E57"/>
    <w:rsid w:val="00772719"/>
    <w:rsid w:val="00796330"/>
    <w:rsid w:val="007A676C"/>
    <w:rsid w:val="007C5EAF"/>
    <w:rsid w:val="007C7382"/>
    <w:rsid w:val="007E00D0"/>
    <w:rsid w:val="007E4FD3"/>
    <w:rsid w:val="007F1974"/>
    <w:rsid w:val="00873185"/>
    <w:rsid w:val="00891777"/>
    <w:rsid w:val="0089588D"/>
    <w:rsid w:val="008B2A25"/>
    <w:rsid w:val="008C18E3"/>
    <w:rsid w:val="008C3AD4"/>
    <w:rsid w:val="008C6731"/>
    <w:rsid w:val="00903747"/>
    <w:rsid w:val="00910D12"/>
    <w:rsid w:val="00960E16"/>
    <w:rsid w:val="009C2F80"/>
    <w:rsid w:val="00A058E6"/>
    <w:rsid w:val="00A13B4D"/>
    <w:rsid w:val="00A217B5"/>
    <w:rsid w:val="00A44543"/>
    <w:rsid w:val="00AA1BA8"/>
    <w:rsid w:val="00B13FFA"/>
    <w:rsid w:val="00B17F42"/>
    <w:rsid w:val="00B241C1"/>
    <w:rsid w:val="00B52AB1"/>
    <w:rsid w:val="00B6678A"/>
    <w:rsid w:val="00B802C1"/>
    <w:rsid w:val="00B80BAB"/>
    <w:rsid w:val="00B835D1"/>
    <w:rsid w:val="00B97E14"/>
    <w:rsid w:val="00BB4D58"/>
    <w:rsid w:val="00BD5ABB"/>
    <w:rsid w:val="00BD6FF1"/>
    <w:rsid w:val="00BE6924"/>
    <w:rsid w:val="00C46365"/>
    <w:rsid w:val="00CA2AB8"/>
    <w:rsid w:val="00CA5D1F"/>
    <w:rsid w:val="00CC52D3"/>
    <w:rsid w:val="00CE218E"/>
    <w:rsid w:val="00CE7B7A"/>
    <w:rsid w:val="00D17C67"/>
    <w:rsid w:val="00D265E2"/>
    <w:rsid w:val="00D45FCE"/>
    <w:rsid w:val="00D578BF"/>
    <w:rsid w:val="00D9408D"/>
    <w:rsid w:val="00DE1077"/>
    <w:rsid w:val="00E208A6"/>
    <w:rsid w:val="00E564FD"/>
    <w:rsid w:val="00E74F72"/>
    <w:rsid w:val="00E809B9"/>
    <w:rsid w:val="00EE6CF5"/>
    <w:rsid w:val="00F1758C"/>
    <w:rsid w:val="00F371A7"/>
    <w:rsid w:val="00F53931"/>
    <w:rsid w:val="00F5470A"/>
    <w:rsid w:val="00F7118C"/>
    <w:rsid w:val="00F87B4C"/>
    <w:rsid w:val="00F94139"/>
    <w:rsid w:val="00FF1784"/>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toc 1" w:uiPriority="39"/>
    <w:lsdException w:name="toc 2" w:uiPriority="39"/>
    <w:lsdException w:name="Hyperlink" w:uiPriority="99"/>
    <w:lsdException w:name="List Paragraph" w:uiPriority="34" w:qFormat="1"/>
    <w:lsdException w:name="TOC Heading" w:uiPriority="39" w:qFormat="1"/>
  </w:latentStyles>
  <w:style w:type="paragraph" w:default="1" w:styleId="Normal">
    <w:name w:val="Normal"/>
    <w:qFormat/>
    <w:rsid w:val="00891777"/>
    <w:pPr>
      <w:spacing w:before="120"/>
    </w:pPr>
    <w:rPr>
      <w:rFonts w:ascii="Arial" w:hAnsi="Arial"/>
      <w:sz w:val="22"/>
      <w:szCs w:val="24"/>
      <w:lang w:val="en-US" w:eastAsia="en-US"/>
    </w:rPr>
  </w:style>
  <w:style w:type="paragraph" w:styleId="Heading1">
    <w:name w:val="heading 1"/>
    <w:basedOn w:val="Normal"/>
    <w:next w:val="Normal"/>
    <w:link w:val="Heading1Char"/>
    <w:autoRedefine/>
    <w:qFormat/>
    <w:rsid w:val="00CB46EE"/>
    <w:pPr>
      <w:ind w:right="-96"/>
      <w:outlineLvl w:val="0"/>
    </w:pPr>
    <w:rPr>
      <w:rFonts w:ascii="Arial Bold" w:hAnsi="Arial Bold"/>
      <w:color w:val="FF0000"/>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46EE"/>
    <w:rPr>
      <w:rFonts w:ascii="Arial Bold" w:hAnsi="Arial Bold"/>
      <w:color w:val="FF0000"/>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uiPriority w:val="99"/>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1"/>
      </w:numPr>
    </w:pPr>
  </w:style>
  <w:style w:type="paragraph" w:customStyle="1" w:styleId="Listbulleted2">
    <w:name w:val="List bulleted 2"/>
    <w:basedOn w:val="Listbulleted1"/>
    <w:qFormat/>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styleId="ListNumber">
    <w:name w:val="List Number"/>
    <w:basedOn w:val="Normal"/>
    <w:rsid w:val="00960E16"/>
    <w:pPr>
      <w:numPr>
        <w:numId w:val="5"/>
      </w:numPr>
      <w:spacing w:before="0"/>
      <w:ind w:left="0" w:firstLine="0"/>
      <w:jc w:val="both"/>
    </w:pPr>
    <w:rPr>
      <w:rFonts w:ascii="Times New Roman" w:eastAsia="Times New Roman" w:hAnsi="Times New Roman"/>
      <w:sz w:val="24"/>
      <w:lang w:val="en-GB"/>
    </w:rPr>
  </w:style>
  <w:style w:type="paragraph" w:styleId="ListParagraph">
    <w:name w:val="List Paragraph"/>
    <w:basedOn w:val="Normal"/>
    <w:uiPriority w:val="34"/>
    <w:qFormat/>
    <w:rsid w:val="00960E16"/>
    <w:pPr>
      <w:spacing w:before="0"/>
      <w:ind w:left="720"/>
    </w:pPr>
    <w:rPr>
      <w:rFonts w:ascii="Calibri" w:hAnsi="Calibri"/>
      <w:szCs w:val="22"/>
      <w:lang w:val="en-GB" w:eastAsia="en-GB"/>
    </w:rPr>
  </w:style>
  <w:style w:type="paragraph" w:styleId="TOCHeading">
    <w:name w:val="TOC Heading"/>
    <w:basedOn w:val="Heading1"/>
    <w:next w:val="Normal"/>
    <w:uiPriority w:val="39"/>
    <w:unhideWhenUsed/>
    <w:qFormat/>
    <w:rsid w:val="00EE6CF5"/>
    <w:pPr>
      <w:keepNext/>
      <w:keepLines/>
      <w:spacing w:before="480" w:line="276" w:lineRule="auto"/>
      <w:ind w:right="0"/>
      <w:outlineLvl w:val="9"/>
    </w:pPr>
    <w:rPr>
      <w:rFonts w:ascii="Calibri" w:eastAsia="Times New Roman" w:hAnsi="Calibri"/>
      <w:b/>
      <w:bCs/>
      <w:color w:val="365F91"/>
      <w:sz w:val="28"/>
      <w:szCs w:val="28"/>
    </w:rPr>
  </w:style>
  <w:style w:type="paragraph" w:styleId="TOC1">
    <w:name w:val="toc 1"/>
    <w:basedOn w:val="Normal"/>
    <w:next w:val="Normal"/>
    <w:autoRedefine/>
    <w:uiPriority w:val="39"/>
    <w:rsid w:val="00EE6CF5"/>
  </w:style>
  <w:style w:type="paragraph" w:styleId="TOC2">
    <w:name w:val="toc 2"/>
    <w:basedOn w:val="Normal"/>
    <w:next w:val="Normal"/>
    <w:autoRedefine/>
    <w:uiPriority w:val="39"/>
    <w:rsid w:val="00EE6CF5"/>
    <w:pPr>
      <w:ind w:left="220"/>
    </w:pPr>
  </w:style>
  <w:style w:type="table" w:styleId="TableGrid">
    <w:name w:val="Table Grid"/>
    <w:basedOn w:val="TableNormal"/>
    <w:rsid w:val="005B02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A2AB8"/>
    <w:pPr>
      <w:spacing w:before="0"/>
    </w:pPr>
    <w:rPr>
      <w:rFonts w:ascii="Tahoma" w:hAnsi="Tahoma" w:cs="Tahoma"/>
      <w:sz w:val="16"/>
      <w:szCs w:val="16"/>
    </w:rPr>
  </w:style>
  <w:style w:type="character" w:customStyle="1" w:styleId="BalloonTextChar">
    <w:name w:val="Balloon Text Char"/>
    <w:basedOn w:val="DefaultParagraphFont"/>
    <w:link w:val="BalloonText"/>
    <w:rsid w:val="00CA2AB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02653621">
      <w:bodyDiv w:val="1"/>
      <w:marLeft w:val="0"/>
      <w:marRight w:val="0"/>
      <w:marTop w:val="0"/>
      <w:marBottom w:val="0"/>
      <w:divBdr>
        <w:top w:val="none" w:sz="0" w:space="0" w:color="auto"/>
        <w:left w:val="none" w:sz="0" w:space="0" w:color="auto"/>
        <w:bottom w:val="none" w:sz="0" w:space="0" w:color="auto"/>
        <w:right w:val="none" w:sz="0" w:space="0" w:color="auto"/>
      </w:divBdr>
    </w:div>
    <w:div w:id="168957415">
      <w:bodyDiv w:val="1"/>
      <w:marLeft w:val="0"/>
      <w:marRight w:val="0"/>
      <w:marTop w:val="0"/>
      <w:marBottom w:val="0"/>
      <w:divBdr>
        <w:top w:val="none" w:sz="0" w:space="0" w:color="auto"/>
        <w:left w:val="none" w:sz="0" w:space="0" w:color="auto"/>
        <w:bottom w:val="none" w:sz="0" w:space="0" w:color="auto"/>
        <w:right w:val="none" w:sz="0" w:space="0" w:color="auto"/>
      </w:divBdr>
    </w:div>
    <w:div w:id="278686963">
      <w:bodyDiv w:val="1"/>
      <w:marLeft w:val="0"/>
      <w:marRight w:val="0"/>
      <w:marTop w:val="0"/>
      <w:marBottom w:val="0"/>
      <w:divBdr>
        <w:top w:val="none" w:sz="0" w:space="0" w:color="auto"/>
        <w:left w:val="none" w:sz="0" w:space="0" w:color="auto"/>
        <w:bottom w:val="none" w:sz="0" w:space="0" w:color="auto"/>
        <w:right w:val="none" w:sz="0" w:space="0" w:color="auto"/>
      </w:divBdr>
    </w:div>
    <w:div w:id="10726277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FRC%20Reference\IFRC%20Templates\IFRC%20EN%20Templates\IFRC-generic-templat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IFRC-generic-template-EN.dotx</Template>
  <TotalTime>0</TotalTime>
  <Pages>9</Pages>
  <Words>2704</Words>
  <Characters>15413</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Background</vt:lpstr>
      <vt:lpstr>Purpose of the Consultation and Revision Project </vt:lpstr>
      <vt:lpstr>Priority Areas for Consultation and Consultation Modalities</vt:lpstr>
      <vt:lpstr>Consultation Schedule</vt:lpstr>
      <vt:lpstr>National Society Consultation Workshops</vt:lpstr>
      <vt:lpstr>    Agenda</vt:lpstr>
      <vt:lpstr>    </vt:lpstr>
      <vt:lpstr>    Methodology</vt:lpstr>
      <vt:lpstr>    DCMAB members’ role</vt:lpstr>
      <vt:lpstr>    Secretariat role</vt:lpstr>
      <vt:lpstr>    Agenda</vt:lpstr>
      <vt:lpstr>    ADD on ICRC role</vt:lpstr>
      <vt:lpstr>Incorporating Consultation Feedback into the Revision of P&amp;R</vt:lpstr>
      <vt:lpstr>Consultation on the Revised Draft Principles and Rules DocumentP&amp;R</vt:lpstr>
      <vt:lpstr>Project Communication</vt:lpstr>
      <vt:lpstr>Summary Project Timeline</vt:lpstr>
      <vt:lpstr/>
      <vt:lpstr>Figure X. Summary timeline for the project 2011-2013</vt:lpstr>
      <vt:lpstr/>
      <vt:lpstr>Project Budget</vt:lpstr>
      <vt:lpstr>After the consultation and revision</vt:lpstr>
      <vt:lpstr/>
    </vt:vector>
  </TitlesOfParts>
  <Company>IFRC</Company>
  <LinksUpToDate>false</LinksUpToDate>
  <CharactersWithSpaces>18081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elena.nyanenkova</cp:lastModifiedBy>
  <cp:revision>2</cp:revision>
  <cp:lastPrinted>2012-03-15T14:25:00Z</cp:lastPrinted>
  <dcterms:created xsi:type="dcterms:W3CDTF">2013-06-12T01:20:00Z</dcterms:created>
  <dcterms:modified xsi:type="dcterms:W3CDTF">2013-06-12T01:20:00Z</dcterms:modified>
</cp:coreProperties>
</file>