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15" w:rsidRPr="00112A7E" w:rsidRDefault="00112A7E" w:rsidP="00BA226D">
      <w:pPr>
        <w:spacing w:before="100" w:beforeAutospacing="1" w:after="100" w:afterAutospacing="1" w:line="240" w:lineRule="auto"/>
        <w:contextualSpacing/>
        <w:jc w:val="center"/>
        <w:rPr>
          <w:b/>
          <w:sz w:val="28"/>
        </w:rPr>
      </w:pPr>
      <w:r w:rsidRPr="00112A7E">
        <w:rPr>
          <w:b/>
          <w:sz w:val="28"/>
        </w:rPr>
        <w:t>1</w:t>
      </w:r>
      <w:r w:rsidRPr="00112A7E">
        <w:rPr>
          <w:b/>
          <w:sz w:val="28"/>
          <w:vertAlign w:val="superscript"/>
        </w:rPr>
        <w:t>st</w:t>
      </w:r>
      <w:r w:rsidRPr="00112A7E">
        <w:rPr>
          <w:b/>
          <w:sz w:val="28"/>
        </w:rPr>
        <w:t xml:space="preserve"> </w:t>
      </w:r>
      <w:r w:rsidR="00F3052D" w:rsidRPr="00112A7E">
        <w:rPr>
          <w:b/>
          <w:sz w:val="28"/>
        </w:rPr>
        <w:t>SEA</w:t>
      </w:r>
      <w:r w:rsidR="00F05AC8" w:rsidRPr="00112A7E">
        <w:rPr>
          <w:b/>
          <w:sz w:val="28"/>
        </w:rPr>
        <w:t>YN</w:t>
      </w:r>
      <w:r w:rsidR="00F3052D" w:rsidRPr="00112A7E">
        <w:rPr>
          <w:b/>
          <w:sz w:val="28"/>
        </w:rPr>
        <w:t xml:space="preserve"> </w:t>
      </w:r>
      <w:r w:rsidRPr="00112A7E">
        <w:rPr>
          <w:b/>
          <w:sz w:val="28"/>
        </w:rPr>
        <w:t>Online</w:t>
      </w:r>
      <w:r w:rsidR="00F3052D" w:rsidRPr="00112A7E">
        <w:rPr>
          <w:b/>
          <w:sz w:val="28"/>
        </w:rPr>
        <w:t xml:space="preserve"> </w:t>
      </w:r>
      <w:r w:rsidR="00322884" w:rsidRPr="00112A7E">
        <w:rPr>
          <w:b/>
          <w:sz w:val="28"/>
        </w:rPr>
        <w:t>M</w:t>
      </w:r>
      <w:r w:rsidR="00F3052D" w:rsidRPr="00112A7E">
        <w:rPr>
          <w:b/>
          <w:sz w:val="28"/>
        </w:rPr>
        <w:t>eeting</w:t>
      </w:r>
      <w:r w:rsidR="00052FD8">
        <w:rPr>
          <w:b/>
          <w:sz w:val="28"/>
        </w:rPr>
        <w:t xml:space="preserve"> (Minutes)</w:t>
      </w:r>
    </w:p>
    <w:p w:rsidR="00F05AC8" w:rsidRDefault="00112A7E" w:rsidP="00BA226D">
      <w:pPr>
        <w:spacing w:before="100" w:beforeAutospacing="1" w:after="100" w:afterAutospacing="1" w:line="240" w:lineRule="auto"/>
        <w:contextualSpacing/>
        <w:jc w:val="center"/>
      </w:pPr>
      <w:r>
        <w:t>02</w:t>
      </w:r>
      <w:r w:rsidRPr="00112A7E">
        <w:rPr>
          <w:vertAlign w:val="superscript"/>
        </w:rPr>
        <w:t>nd</w:t>
      </w:r>
      <w:r>
        <w:t xml:space="preserve"> July </w:t>
      </w:r>
      <w:r w:rsidR="00F05AC8">
        <w:t>2013, 1</w:t>
      </w:r>
      <w:r>
        <w:t>4</w:t>
      </w:r>
      <w:r w:rsidR="00F05AC8">
        <w:t>.30-1</w:t>
      </w:r>
      <w:r>
        <w:t>6</w:t>
      </w:r>
      <w:r w:rsidR="00F05AC8">
        <w:t>.00</w:t>
      </w:r>
    </w:p>
    <w:p w:rsidR="006D4D95" w:rsidRDefault="006D4D95" w:rsidP="006D4D95">
      <w:pPr>
        <w:spacing w:before="100" w:beforeAutospacing="1" w:after="100" w:afterAutospacing="1" w:line="240" w:lineRule="auto"/>
        <w:ind w:firstLine="720"/>
        <w:contextualSpacing/>
        <w:jc w:val="both"/>
      </w:pPr>
    </w:p>
    <w:p w:rsidR="00214438" w:rsidRDefault="00214438" w:rsidP="00BF1BA4">
      <w:pPr>
        <w:spacing w:before="100" w:beforeAutospacing="1" w:after="100" w:afterAutospacing="1" w:line="240" w:lineRule="auto"/>
        <w:contextualSpacing/>
        <w:jc w:val="both"/>
      </w:pPr>
      <w:r w:rsidRPr="00214438">
        <w:t xml:space="preserve">The first ever of South East Asia Youth Network </w:t>
      </w:r>
      <w:r w:rsidR="000A14F8">
        <w:t xml:space="preserve">(SEAYN) </w:t>
      </w:r>
      <w:r w:rsidRPr="00214438">
        <w:t xml:space="preserve">Online Meeting has been </w:t>
      </w:r>
      <w:r w:rsidR="00052FD8">
        <w:t>held</w:t>
      </w:r>
      <w:r w:rsidRPr="00214438">
        <w:t xml:space="preserve"> </w:t>
      </w:r>
      <w:r w:rsidR="00E13DF6" w:rsidRPr="00214438">
        <w:t>on July</w:t>
      </w:r>
      <w:r w:rsidR="00052FD8">
        <w:t xml:space="preserve"> 2,</w:t>
      </w:r>
      <w:r w:rsidRPr="00214438">
        <w:t xml:space="preserve"> 2013 for 1.30 hours. </w:t>
      </w:r>
    </w:p>
    <w:p w:rsidR="00C30622" w:rsidRDefault="00C30622" w:rsidP="009D0B1C">
      <w:pPr>
        <w:spacing w:before="100" w:beforeAutospacing="1" w:after="100" w:afterAutospacing="1" w:line="240" w:lineRule="auto"/>
        <w:ind w:left="450"/>
        <w:contextualSpacing/>
        <w:jc w:val="both"/>
        <w:rPr>
          <w:i/>
        </w:rPr>
      </w:pPr>
    </w:p>
    <w:p w:rsidR="00214438" w:rsidRPr="001512D3" w:rsidRDefault="009523EA" w:rsidP="001512D3">
      <w:pPr>
        <w:spacing w:before="100" w:beforeAutospacing="1" w:after="100" w:afterAutospacing="1" w:line="240" w:lineRule="auto"/>
        <w:ind w:left="450"/>
        <w:contextualSpacing/>
        <w:jc w:val="both"/>
        <w:rPr>
          <w:i/>
        </w:rPr>
      </w:pPr>
      <w:r w:rsidRPr="009523EA">
        <w:rPr>
          <w:i/>
          <w:u w:val="single"/>
        </w:rPr>
        <w:t>Attendees:</w:t>
      </w:r>
      <w:r w:rsidR="00214438" w:rsidRPr="001512D3">
        <w:rPr>
          <w:i/>
        </w:rPr>
        <w:t xml:space="preserve"> </w:t>
      </w:r>
      <w:r w:rsidR="00083203" w:rsidRPr="001512D3">
        <w:rPr>
          <w:i/>
        </w:rPr>
        <w:tab/>
      </w:r>
    </w:p>
    <w:p w:rsidR="00214438" w:rsidRPr="001512D3" w:rsidRDefault="00985F28" w:rsidP="001512D3">
      <w:pPr>
        <w:spacing w:before="100" w:beforeAutospacing="1" w:after="100" w:afterAutospacing="1" w:line="240" w:lineRule="auto"/>
        <w:ind w:left="450"/>
        <w:contextualSpacing/>
        <w:jc w:val="both"/>
        <w:rPr>
          <w:i/>
        </w:rPr>
      </w:pPr>
      <w:r w:rsidRPr="001512D3">
        <w:rPr>
          <w:i/>
        </w:rPr>
        <w:t xml:space="preserve">Cambodian RC: </w:t>
      </w:r>
      <w:r w:rsidR="001512D3">
        <w:rPr>
          <w:i/>
        </w:rPr>
        <w:tab/>
      </w:r>
      <w:r w:rsidR="00214438" w:rsidRPr="001512D3">
        <w:rPr>
          <w:i/>
        </w:rPr>
        <w:t>Sam Kosal (SEAYN Chair); Ms Yam Pagnha</w:t>
      </w:r>
    </w:p>
    <w:p w:rsidR="00715C7C" w:rsidRPr="001512D3" w:rsidRDefault="00715C7C" w:rsidP="001512D3">
      <w:pPr>
        <w:spacing w:before="100" w:beforeAutospacing="1" w:after="100" w:afterAutospacing="1" w:line="240" w:lineRule="auto"/>
        <w:ind w:left="450"/>
        <w:contextualSpacing/>
        <w:jc w:val="both"/>
        <w:rPr>
          <w:i/>
        </w:rPr>
      </w:pPr>
      <w:r w:rsidRPr="001512D3">
        <w:rPr>
          <w:i/>
        </w:rPr>
        <w:t>Lao RC:</w:t>
      </w:r>
      <w:r w:rsidRPr="001512D3">
        <w:rPr>
          <w:i/>
        </w:rPr>
        <w:tab/>
      </w:r>
      <w:r w:rsidRPr="001512D3">
        <w:rPr>
          <w:i/>
        </w:rPr>
        <w:tab/>
        <w:t>Kamla Phomphakdee; Sourideth Malavong</w:t>
      </w:r>
    </w:p>
    <w:p w:rsidR="00715C7C" w:rsidRPr="001512D3" w:rsidRDefault="00715C7C" w:rsidP="001512D3">
      <w:pPr>
        <w:spacing w:before="100" w:beforeAutospacing="1" w:after="100" w:afterAutospacing="1" w:line="240" w:lineRule="auto"/>
        <w:ind w:left="450"/>
        <w:contextualSpacing/>
        <w:jc w:val="both"/>
        <w:rPr>
          <w:i/>
        </w:rPr>
      </w:pPr>
      <w:r w:rsidRPr="001512D3">
        <w:rPr>
          <w:i/>
        </w:rPr>
        <w:t>Philippine RC:</w:t>
      </w:r>
      <w:r w:rsidRPr="001512D3">
        <w:rPr>
          <w:i/>
        </w:rPr>
        <w:tab/>
        <w:t>Allan P. Claveria</w:t>
      </w:r>
    </w:p>
    <w:p w:rsidR="00715C7C" w:rsidRPr="001512D3" w:rsidRDefault="00715C7C" w:rsidP="001512D3">
      <w:pPr>
        <w:spacing w:before="100" w:beforeAutospacing="1" w:after="100" w:afterAutospacing="1" w:line="240" w:lineRule="auto"/>
        <w:ind w:left="450"/>
        <w:contextualSpacing/>
        <w:jc w:val="both"/>
        <w:rPr>
          <w:i/>
        </w:rPr>
      </w:pPr>
      <w:r w:rsidRPr="001512D3">
        <w:rPr>
          <w:i/>
        </w:rPr>
        <w:t>Thai RC:</w:t>
      </w:r>
      <w:r w:rsidRPr="001512D3">
        <w:rPr>
          <w:i/>
        </w:rPr>
        <w:tab/>
      </w:r>
      <w:r w:rsidR="001512D3">
        <w:rPr>
          <w:i/>
        </w:rPr>
        <w:tab/>
      </w:r>
      <w:r w:rsidRPr="001512D3">
        <w:rPr>
          <w:i/>
        </w:rPr>
        <w:t>Methinee Jongsri</w:t>
      </w:r>
    </w:p>
    <w:p w:rsidR="00875FC7" w:rsidRPr="001512D3" w:rsidRDefault="00715C7C" w:rsidP="00875FC7">
      <w:pPr>
        <w:spacing w:before="100" w:beforeAutospacing="1" w:after="100" w:afterAutospacing="1" w:line="240" w:lineRule="auto"/>
        <w:ind w:left="450"/>
        <w:contextualSpacing/>
        <w:jc w:val="both"/>
        <w:rPr>
          <w:i/>
        </w:rPr>
      </w:pPr>
      <w:r w:rsidRPr="001512D3">
        <w:rPr>
          <w:i/>
        </w:rPr>
        <w:t>Timor Leste RC:</w:t>
      </w:r>
      <w:r w:rsidRPr="001512D3">
        <w:rPr>
          <w:i/>
        </w:rPr>
        <w:tab/>
        <w:t>Vidiana Xareal</w:t>
      </w:r>
      <w:r w:rsidR="00875FC7">
        <w:rPr>
          <w:i/>
        </w:rPr>
        <w:t>,</w:t>
      </w:r>
      <w:r w:rsidR="00875FC7" w:rsidRPr="00875FC7">
        <w:t xml:space="preserve"> </w:t>
      </w:r>
      <w:r w:rsidR="00875FC7" w:rsidRPr="00875FC7">
        <w:rPr>
          <w:i/>
        </w:rPr>
        <w:t>Vicente da Silva Antonio</w:t>
      </w:r>
    </w:p>
    <w:p w:rsidR="00715C7C" w:rsidRPr="001512D3" w:rsidRDefault="00715C7C" w:rsidP="001512D3">
      <w:pPr>
        <w:spacing w:before="100" w:beforeAutospacing="1" w:after="100" w:afterAutospacing="1" w:line="240" w:lineRule="auto"/>
        <w:ind w:left="450"/>
        <w:contextualSpacing/>
        <w:jc w:val="both"/>
        <w:rPr>
          <w:i/>
        </w:rPr>
      </w:pPr>
      <w:r w:rsidRPr="001512D3">
        <w:rPr>
          <w:i/>
        </w:rPr>
        <w:t>IFRC:</w:t>
      </w:r>
      <w:r w:rsidRPr="001512D3">
        <w:rPr>
          <w:i/>
        </w:rPr>
        <w:tab/>
      </w:r>
      <w:r w:rsidRPr="001512D3">
        <w:rPr>
          <w:i/>
        </w:rPr>
        <w:tab/>
      </w:r>
      <w:r w:rsidR="002F35DE" w:rsidRPr="001512D3">
        <w:rPr>
          <w:i/>
        </w:rPr>
        <w:t>Rika UENO (AP Zone); KumJu HO (SEA Regional); LAK Mony Rasmey (Cambodia Country office)</w:t>
      </w:r>
    </w:p>
    <w:p w:rsidR="00715C7C" w:rsidRDefault="00715C7C" w:rsidP="00BF1BA4">
      <w:pPr>
        <w:spacing w:before="100" w:beforeAutospacing="1" w:after="100" w:afterAutospacing="1" w:line="240" w:lineRule="auto"/>
        <w:contextualSpacing/>
        <w:jc w:val="both"/>
      </w:pPr>
    </w:p>
    <w:p w:rsidR="000A14F8" w:rsidRDefault="000A14F8" w:rsidP="00BF1BA4">
      <w:pPr>
        <w:spacing w:before="100" w:beforeAutospacing="1" w:after="100" w:afterAutospacing="1" w:line="240" w:lineRule="auto"/>
        <w:contextualSpacing/>
        <w:jc w:val="both"/>
      </w:pPr>
      <w:r>
        <w:t>The chair</w:t>
      </w:r>
      <w:r w:rsidR="00985F28">
        <w:t xml:space="preserve">person </w:t>
      </w:r>
      <w:r>
        <w:t xml:space="preserve">(Kosal) </w:t>
      </w:r>
      <w:r w:rsidR="00875FC7">
        <w:t>warmly welcomed all the participants to join in the Network in his</w:t>
      </w:r>
      <w:r>
        <w:t xml:space="preserve"> opening</w:t>
      </w:r>
      <w:r w:rsidR="00875FC7">
        <w:t xml:space="preserve"> speech</w:t>
      </w:r>
      <w:r>
        <w:t xml:space="preserve"> </w:t>
      </w:r>
      <w:r w:rsidR="00875FC7">
        <w:t>and expressed his deep</w:t>
      </w:r>
      <w:r>
        <w:t xml:space="preserve"> thanks to all NSs for nominating their youths to</w:t>
      </w:r>
      <w:r w:rsidR="00875FC7">
        <w:t xml:space="preserve"> be members of </w:t>
      </w:r>
      <w:r>
        <w:t xml:space="preserve">the network.  </w:t>
      </w:r>
    </w:p>
    <w:p w:rsidR="005D54B9" w:rsidRDefault="00875FC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 xml:space="preserve">Introduction was carried </w:t>
      </w:r>
      <w:r w:rsidR="00052FD8">
        <w:t xml:space="preserve">out </w:t>
      </w:r>
      <w:r>
        <w:t>by all members</w:t>
      </w:r>
    </w:p>
    <w:p w:rsidR="005D54B9" w:rsidRDefault="00875FC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Working system and procedure of SEAYN was briefed by the chair</w:t>
      </w:r>
    </w:p>
    <w:p w:rsidR="005D54B9" w:rsidRDefault="00875FC7">
      <w:pPr>
        <w:pStyle w:val="ListParagraph"/>
        <w:spacing w:before="100" w:beforeAutospacing="1" w:after="100" w:afterAutospacing="1" w:line="240" w:lineRule="auto"/>
        <w:jc w:val="both"/>
      </w:pPr>
      <w:r>
        <w:t xml:space="preserve">Key </w:t>
      </w:r>
      <w:r w:rsidR="00052FD8">
        <w:t>briefing</w:t>
      </w:r>
      <w:r>
        <w:t xml:space="preserve">; </w:t>
      </w:r>
      <w:r w:rsidR="00141E5F">
        <w:t>the</w:t>
      </w:r>
      <w:r w:rsidR="00052FD8">
        <w:t xml:space="preserve"> purpose, function, roles and responsibility of </w:t>
      </w:r>
      <w:r w:rsidR="004E042B">
        <w:t>SEAYN</w:t>
      </w:r>
      <w:r w:rsidR="00052FD8">
        <w:t xml:space="preserve"> were recapped as stated in the ToR. </w:t>
      </w:r>
      <w:r w:rsidR="004E042B">
        <w:t>The Chair added that t</w:t>
      </w:r>
      <w:r>
        <w:t xml:space="preserve">he </w:t>
      </w:r>
      <w:r w:rsidR="004E042B">
        <w:t xml:space="preserve">SEAYN </w:t>
      </w:r>
      <w:r>
        <w:t xml:space="preserve">consists of 22 members nominated by each 11 NSs (currently 9NSs in participation and the remaining 2NSs in the process of nomination) and </w:t>
      </w:r>
      <w:r w:rsidR="00052FD8">
        <w:t xml:space="preserve">implements </w:t>
      </w:r>
      <w:r>
        <w:t>the network action plan.</w:t>
      </w:r>
      <w:r w:rsidR="004E042B">
        <w:t xml:space="preserve"> </w:t>
      </w:r>
      <w:r w:rsidR="00052FD8">
        <w:t>T</w:t>
      </w:r>
      <w:r w:rsidR="00CA6F5A">
        <w:t xml:space="preserve">he frequency of CT and the </w:t>
      </w:r>
      <w:r w:rsidR="004E042B">
        <w:t xml:space="preserve">SEAYN meeting </w:t>
      </w:r>
      <w:r w:rsidR="00CA6F5A">
        <w:t xml:space="preserve">was briefed as table below.  </w:t>
      </w:r>
      <w:r>
        <w:t xml:space="preserve"> </w:t>
      </w:r>
      <w:r w:rsidR="001A0264">
        <w:t xml:space="preserve"> </w:t>
      </w:r>
    </w:p>
    <w:tbl>
      <w:tblPr>
        <w:tblW w:w="10031" w:type="dxa"/>
        <w:jc w:val="center"/>
        <w:tblInd w:w="144" w:type="dxa"/>
        <w:tblCellMar>
          <w:left w:w="0" w:type="dxa"/>
          <w:right w:w="0" w:type="dxa"/>
        </w:tblCellMar>
        <w:tblLook w:val="04A0"/>
      </w:tblPr>
      <w:tblGrid>
        <w:gridCol w:w="552"/>
        <w:gridCol w:w="2629"/>
        <w:gridCol w:w="2465"/>
        <w:gridCol w:w="2160"/>
        <w:gridCol w:w="2225"/>
      </w:tblGrid>
      <w:tr w:rsidR="00692BAC" w:rsidRPr="00CB4E1A" w:rsidTr="00692BAC">
        <w:trPr>
          <w:trHeight w:val="247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E5A" w:rsidRPr="00CB4E1A" w:rsidRDefault="00CB4E1A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b/>
                <w:bCs/>
                <w:lang w:val="en-US"/>
              </w:rPr>
              <w:t>No</w:t>
            </w:r>
            <w:r w:rsidRPr="00CB4E1A">
              <w:rPr>
                <w:b/>
                <w:bCs/>
              </w:rPr>
              <w:t xml:space="preserve"> 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E5A" w:rsidRPr="00CB4E1A" w:rsidRDefault="00CB4E1A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b/>
                <w:bCs/>
                <w:lang w:val="en-US"/>
              </w:rPr>
              <w:t>Item</w:t>
            </w:r>
            <w:r w:rsidRPr="00CB4E1A">
              <w:rPr>
                <w:b/>
                <w:bCs/>
              </w:rPr>
              <w:t xml:space="preserve">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E5A" w:rsidRPr="00CB4E1A" w:rsidRDefault="00CB4E1A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b/>
                <w:bCs/>
                <w:lang w:val="en-US"/>
              </w:rPr>
              <w:t>Period</w:t>
            </w:r>
            <w:r w:rsidRPr="00CB4E1A"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E5A" w:rsidRPr="00CB4E1A" w:rsidRDefault="00CB4E1A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b/>
                <w:bCs/>
                <w:lang w:val="en-US"/>
              </w:rPr>
              <w:t>Method</w:t>
            </w:r>
            <w:r w:rsidRPr="00CB4E1A">
              <w:rPr>
                <w:b/>
                <w:bCs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E5A" w:rsidRPr="00CB4E1A" w:rsidRDefault="004E042B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rPr>
                <w:b/>
                <w:bCs/>
                <w:lang w:val="en-US"/>
              </w:rPr>
              <w:t>Constraints</w:t>
            </w:r>
          </w:p>
        </w:tc>
      </w:tr>
      <w:tr w:rsidR="00692BAC" w:rsidRPr="00CB4E1A" w:rsidTr="00692BAC">
        <w:trPr>
          <w:trHeight w:val="218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E5A" w:rsidRPr="00CB4E1A" w:rsidRDefault="00CB4E1A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>1</w:t>
            </w:r>
            <w:r w:rsidRPr="00CB4E1A">
              <w:t xml:space="preserve"> 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E5A" w:rsidRPr="00CB4E1A" w:rsidRDefault="00CB4E1A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>OD and Youth Forum</w:t>
            </w:r>
            <w:r w:rsidRPr="00CB4E1A">
              <w:t xml:space="preserve">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E5A" w:rsidRPr="00CB4E1A" w:rsidRDefault="00CB4E1A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>18 Month or 2 y</w:t>
            </w:r>
            <w:r w:rsidR="00141E5F">
              <w:rPr>
                <w:lang w:val="en-US"/>
              </w:rPr>
              <w:t>ea</w:t>
            </w:r>
            <w:r w:rsidRPr="00CB4E1A">
              <w:rPr>
                <w:lang w:val="en-US"/>
              </w:rPr>
              <w:t>r</w:t>
            </w:r>
            <w:r w:rsidR="00141E5F">
              <w:rPr>
                <w:lang w:val="en-US"/>
              </w:rPr>
              <w:t>s</w:t>
            </w:r>
            <w:r w:rsidRPr="00CB4E1A"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E5A" w:rsidRPr="00CB4E1A" w:rsidRDefault="00CB4E1A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>Face</w:t>
            </w:r>
            <w:r w:rsidRPr="00CB4E1A">
              <w:t xml:space="preserve"> </w:t>
            </w:r>
            <w:r w:rsidR="004E042B">
              <w:t>to face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E5A" w:rsidRPr="00CB4E1A" w:rsidRDefault="00CB4E1A" w:rsidP="00716ADB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>fund</w:t>
            </w:r>
            <w:r w:rsidR="00716ADB">
              <w:rPr>
                <w:lang w:val="en-US"/>
              </w:rPr>
              <w:t>ing</w:t>
            </w:r>
            <w:r w:rsidRPr="00CB4E1A">
              <w:t xml:space="preserve"> </w:t>
            </w:r>
          </w:p>
        </w:tc>
      </w:tr>
      <w:tr w:rsidR="00692BAC" w:rsidRPr="00CB4E1A" w:rsidTr="00692BAC">
        <w:trPr>
          <w:trHeight w:val="200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E5A" w:rsidRPr="00CB4E1A" w:rsidRDefault="00CB4E1A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>2</w:t>
            </w:r>
            <w:r w:rsidRPr="00CB4E1A">
              <w:t xml:space="preserve"> 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E5A" w:rsidRPr="00CB4E1A" w:rsidRDefault="00CB4E1A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>SEAYN Annual meeting</w:t>
            </w:r>
            <w:r w:rsidRPr="00CB4E1A">
              <w:t xml:space="preserve">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E5A" w:rsidRPr="00CB4E1A" w:rsidRDefault="00CB4E1A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>12 month</w:t>
            </w:r>
            <w:r w:rsidRPr="00CB4E1A"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E5A" w:rsidRPr="00CB4E1A" w:rsidRDefault="00CB4E1A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>Face</w:t>
            </w:r>
            <w:r w:rsidRPr="00CB4E1A">
              <w:t xml:space="preserve"> </w:t>
            </w:r>
            <w:r w:rsidR="004E042B">
              <w:t>to face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E5A" w:rsidRPr="00CB4E1A" w:rsidRDefault="00716ADB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rPr>
                <w:lang w:val="en-US"/>
              </w:rPr>
              <w:t>funding</w:t>
            </w:r>
            <w:r w:rsidR="00CB4E1A" w:rsidRPr="00CB4E1A">
              <w:t xml:space="preserve"> </w:t>
            </w:r>
          </w:p>
        </w:tc>
      </w:tr>
      <w:tr w:rsidR="004E042B" w:rsidRPr="00CB4E1A" w:rsidTr="00692BAC">
        <w:trPr>
          <w:trHeight w:val="200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42B" w:rsidRPr="00CB4E1A" w:rsidRDefault="004E042B" w:rsidP="00CB4E1A">
            <w:pPr>
              <w:spacing w:before="100" w:beforeAutospacing="1" w:after="100" w:afterAutospacing="1" w:line="240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42B" w:rsidRPr="00CB4E1A" w:rsidRDefault="004E042B" w:rsidP="00CB4E1A">
            <w:pPr>
              <w:spacing w:before="100" w:beforeAutospacing="1" w:after="100" w:afterAutospacing="1" w:line="240" w:lineRule="auto"/>
              <w:contextualSpacing/>
              <w:jc w:val="both"/>
              <w:rPr>
                <w:lang w:val="en-US"/>
              </w:rPr>
            </w:pPr>
            <w:r w:rsidRPr="00CB4E1A">
              <w:rPr>
                <w:lang w:val="en-US"/>
              </w:rPr>
              <w:t>SEAYN meetings, forum</w:t>
            </w:r>
            <w:r w:rsidRPr="00CB4E1A">
              <w:t xml:space="preserve">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42B" w:rsidRPr="00CB4E1A" w:rsidRDefault="004E042B" w:rsidP="00CB4E1A">
            <w:pPr>
              <w:spacing w:before="100" w:beforeAutospacing="1" w:after="100" w:afterAutospacing="1" w:line="240" w:lineRule="auto"/>
              <w:contextualSpacing/>
              <w:jc w:val="both"/>
              <w:rPr>
                <w:lang w:val="en-US"/>
              </w:rPr>
            </w:pPr>
            <w:r w:rsidRPr="00CB4E1A">
              <w:rPr>
                <w:lang w:val="en-US"/>
              </w:rPr>
              <w:t>Bi-Monthly</w:t>
            </w:r>
            <w:r w:rsidRPr="00CB4E1A"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42B" w:rsidRPr="00CB4E1A" w:rsidRDefault="004E042B" w:rsidP="00CB4E1A">
            <w:pPr>
              <w:spacing w:before="100" w:beforeAutospacing="1" w:after="100" w:afterAutospacing="1" w:line="240" w:lineRule="auto"/>
              <w:contextualSpacing/>
              <w:jc w:val="both"/>
              <w:rPr>
                <w:lang w:val="en-US"/>
              </w:rPr>
            </w:pPr>
            <w:r w:rsidRPr="00CB4E1A">
              <w:rPr>
                <w:lang w:val="en-US"/>
              </w:rPr>
              <w:t>Online</w:t>
            </w:r>
            <w:r w:rsidRPr="00CB4E1A"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42B" w:rsidRDefault="004E042B" w:rsidP="00CB4E1A">
            <w:pPr>
              <w:spacing w:before="100" w:beforeAutospacing="1" w:after="100" w:afterAutospacing="1" w:line="240" w:lineRule="auto"/>
              <w:contextualSpacing/>
              <w:jc w:val="both"/>
              <w:rPr>
                <w:lang w:val="en-US"/>
              </w:rPr>
            </w:pPr>
            <w:r w:rsidRPr="00CB4E1A">
              <w:rPr>
                <w:lang w:val="en-US"/>
              </w:rPr>
              <w:t>Time and resource</w:t>
            </w:r>
            <w:r>
              <w:rPr>
                <w:lang w:val="en-US"/>
              </w:rPr>
              <w:t>s</w:t>
            </w:r>
            <w:r w:rsidRPr="00CB4E1A">
              <w:t xml:space="preserve"> </w:t>
            </w:r>
          </w:p>
        </w:tc>
      </w:tr>
      <w:tr w:rsidR="00692BAC" w:rsidRPr="00CB4E1A" w:rsidTr="00692BAC">
        <w:trPr>
          <w:trHeight w:val="423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42B" w:rsidRPr="00CB4E1A" w:rsidRDefault="004E042B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4</w:t>
            </w:r>
            <w:r w:rsidRPr="00CB4E1A">
              <w:t xml:space="preserve"> 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42B" w:rsidRPr="00CB4E1A" w:rsidRDefault="004E042B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>SEAYN CT meeting</w:t>
            </w:r>
            <w:r w:rsidRPr="00CB4E1A">
              <w:t xml:space="preserve">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42B" w:rsidRPr="00CB4E1A" w:rsidRDefault="004E042B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>Bi-Monthly</w:t>
            </w:r>
          </w:p>
          <w:p w:rsidR="004E042B" w:rsidRPr="00CB4E1A" w:rsidRDefault="004E042B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>6 months</w:t>
            </w:r>
            <w:r w:rsidRPr="00CB4E1A"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42B" w:rsidRPr="00CB4E1A" w:rsidRDefault="004E042B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>Online</w:t>
            </w:r>
          </w:p>
          <w:p w:rsidR="004E042B" w:rsidRPr="00CB4E1A" w:rsidRDefault="004E042B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 xml:space="preserve">Face </w:t>
            </w:r>
            <w:r>
              <w:rPr>
                <w:lang w:val="en-US"/>
              </w:rPr>
              <w:t>to face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42B" w:rsidRPr="00CB4E1A" w:rsidRDefault="004E042B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 xml:space="preserve">Time </w:t>
            </w:r>
            <w:r>
              <w:rPr>
                <w:lang w:val="en-US"/>
              </w:rPr>
              <w:t>constraints</w:t>
            </w:r>
          </w:p>
          <w:p w:rsidR="004E042B" w:rsidRPr="00CB4E1A" w:rsidRDefault="004E042B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>Fund</w:t>
            </w:r>
            <w:r>
              <w:rPr>
                <w:lang w:val="en-US"/>
              </w:rPr>
              <w:t>ing</w:t>
            </w:r>
          </w:p>
        </w:tc>
      </w:tr>
      <w:tr w:rsidR="00692BAC" w:rsidRPr="00CB4E1A" w:rsidTr="00692BAC">
        <w:trPr>
          <w:trHeight w:val="210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42B" w:rsidRPr="00CB4E1A" w:rsidRDefault="004E042B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>5</w:t>
            </w:r>
            <w:r w:rsidRPr="00CB4E1A">
              <w:t xml:space="preserve"> 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42B" w:rsidRPr="00CB4E1A" w:rsidRDefault="004E042B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>Field trip</w:t>
            </w:r>
            <w:r w:rsidRPr="00CB4E1A">
              <w:t xml:space="preserve">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42B" w:rsidRPr="00CB4E1A" w:rsidRDefault="004E042B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>12 Month</w:t>
            </w:r>
            <w:r w:rsidRPr="00CB4E1A"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42B" w:rsidRPr="00CB4E1A" w:rsidRDefault="004E042B" w:rsidP="00CB4E1A">
            <w:pPr>
              <w:spacing w:before="100" w:beforeAutospacing="1" w:after="100" w:afterAutospacing="1" w:line="240" w:lineRule="auto"/>
              <w:contextualSpacing/>
              <w:jc w:val="both"/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42B" w:rsidRPr="00CB4E1A" w:rsidRDefault="004E042B" w:rsidP="00CB4E1A">
            <w:pPr>
              <w:spacing w:before="100" w:beforeAutospacing="1" w:after="100" w:afterAutospacing="1" w:line="240" w:lineRule="auto"/>
              <w:contextualSpacing/>
              <w:jc w:val="both"/>
            </w:pPr>
            <w:r w:rsidRPr="00CB4E1A">
              <w:rPr>
                <w:lang w:val="en-US"/>
              </w:rPr>
              <w:t>Fund</w:t>
            </w:r>
            <w:r w:rsidR="00D73994">
              <w:rPr>
                <w:lang w:val="en-US"/>
              </w:rPr>
              <w:t>ing</w:t>
            </w:r>
          </w:p>
        </w:tc>
      </w:tr>
    </w:tbl>
    <w:p w:rsidR="00642994" w:rsidRDefault="00642994" w:rsidP="00BF1BA4">
      <w:pPr>
        <w:spacing w:before="100" w:beforeAutospacing="1" w:after="100" w:afterAutospacing="1" w:line="240" w:lineRule="auto"/>
        <w:contextualSpacing/>
        <w:jc w:val="both"/>
      </w:pPr>
    </w:p>
    <w:p w:rsidR="00716ADB" w:rsidRDefault="00716ADB" w:rsidP="00BF1BA4">
      <w:pPr>
        <w:spacing w:before="100" w:beforeAutospacing="1" w:after="100" w:afterAutospacing="1" w:line="240" w:lineRule="auto"/>
        <w:contextualSpacing/>
        <w:jc w:val="both"/>
      </w:pPr>
      <w:r>
        <w:t xml:space="preserve">3)  </w:t>
      </w:r>
      <w:r w:rsidR="0068344D">
        <w:t xml:space="preserve"> 2 or 3 priorit</w:t>
      </w:r>
      <w:r>
        <w:t xml:space="preserve">ies </w:t>
      </w:r>
      <w:r w:rsidR="004E042B">
        <w:t>for Network action plan 2013-2014 were presented by e</w:t>
      </w:r>
      <w:r>
        <w:t xml:space="preserve">ach </w:t>
      </w:r>
      <w:r w:rsidR="001913D5">
        <w:t>NS</w:t>
      </w:r>
      <w:r>
        <w:t xml:space="preserve"> in a link with </w:t>
      </w:r>
      <w:r w:rsidR="004E042B">
        <w:t xml:space="preserve">their </w:t>
      </w:r>
      <w:r>
        <w:t>NS action plans and preliminary action lists developed in the</w:t>
      </w:r>
      <w:r w:rsidR="004E042B">
        <w:t xml:space="preserve"> May</w:t>
      </w:r>
      <w:r>
        <w:t xml:space="preserve"> Forum</w:t>
      </w:r>
      <w:r w:rsidR="004E042B">
        <w:t>.</w:t>
      </w:r>
      <w:r w:rsidR="0068344D">
        <w:t xml:space="preserve"> </w:t>
      </w:r>
    </w:p>
    <w:p w:rsidR="0068344D" w:rsidRDefault="001913D5" w:rsidP="00BF1BA4">
      <w:pPr>
        <w:spacing w:before="100" w:beforeAutospacing="1" w:after="100" w:afterAutospacing="1" w:line="240" w:lineRule="auto"/>
        <w:contextualSpacing/>
        <w:jc w:val="both"/>
      </w:pPr>
      <w:r>
        <w:t>K</w:t>
      </w:r>
      <w:r w:rsidR="0068344D">
        <w:t>ey priorities as follow</w:t>
      </w:r>
      <w:r w:rsidR="00716ADB">
        <w:t>s</w:t>
      </w:r>
      <w:r w:rsidR="0068344D">
        <w:t>:</w:t>
      </w:r>
    </w:p>
    <w:p w:rsidR="0068344D" w:rsidRDefault="0068344D" w:rsidP="0068344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AC5FF6">
        <w:rPr>
          <w:i/>
        </w:rPr>
        <w:t>Cambodian RC</w:t>
      </w:r>
      <w:r>
        <w:t xml:space="preserve">: (1) Introduce the Cambodia </w:t>
      </w:r>
      <w:r w:rsidR="00716ADB">
        <w:t xml:space="preserve">a </w:t>
      </w:r>
      <w:r>
        <w:t>culture of sharing among youth in SEA Region; (2) Review Youth Strategy; and (3) identify the main activity t</w:t>
      </w:r>
      <w:r w:rsidR="00F73771">
        <w:t>hat youth can do better at the c</w:t>
      </w:r>
      <w:r>
        <w:t>ommun</w:t>
      </w:r>
      <w:r w:rsidR="00F73771">
        <w:t>i</w:t>
      </w:r>
      <w:r>
        <w:t>ty</w:t>
      </w:r>
    </w:p>
    <w:p w:rsidR="00F73771" w:rsidRDefault="0068344D" w:rsidP="00F7377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AC5FF6">
        <w:rPr>
          <w:i/>
        </w:rPr>
        <w:t>Lao RC</w:t>
      </w:r>
      <w:r>
        <w:t xml:space="preserve">: (1) Improve </w:t>
      </w:r>
      <w:r w:rsidR="00F73771">
        <w:t>Youth Policy; strengthen youth network in high school/university and the provincial level; (2) conduct fundraising activities for youth volunteer, and (3) Elect youth leader volunteer</w:t>
      </w:r>
    </w:p>
    <w:p w:rsidR="00F8231E" w:rsidRDefault="00F8231E" w:rsidP="00F7377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AC5FF6">
        <w:rPr>
          <w:i/>
        </w:rPr>
        <w:t>Philippine RC</w:t>
      </w:r>
      <w:r>
        <w:t>:</w:t>
      </w:r>
      <w:r w:rsidR="00AC5FF6" w:rsidRPr="00AC5FF6">
        <w:rPr>
          <w:i/>
        </w:rPr>
        <w:t>???</w:t>
      </w:r>
    </w:p>
    <w:p w:rsidR="00F73771" w:rsidRDefault="00F73771" w:rsidP="00F7377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AC5FF6">
        <w:rPr>
          <w:i/>
        </w:rPr>
        <w:t>Thai RC</w:t>
      </w:r>
      <w:r>
        <w:t>: (1) Conduct training for youth volunteer at primary school, (2) Provide community service at school or temple through youth, and (3) establish 1 youth club in each school and each district.</w:t>
      </w:r>
    </w:p>
    <w:p w:rsidR="00C30622" w:rsidRDefault="00F73771" w:rsidP="00F7377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AC5FF6">
        <w:rPr>
          <w:i/>
        </w:rPr>
        <w:t>Timor-Leste RC</w:t>
      </w:r>
      <w:r>
        <w:t>:</w:t>
      </w:r>
      <w:r>
        <w:tab/>
        <w:t>(1)</w:t>
      </w:r>
      <w:r w:rsidR="00F8231E">
        <w:t xml:space="preserve"> RCY programme at school (pre-secondary curriculum) by Integrated Community Based Disaster Risk Reduction-ICBDRR; and (2) support to preliminary </w:t>
      </w:r>
      <w:r w:rsidR="00716ADB">
        <w:t>action lists</w:t>
      </w:r>
      <w:r w:rsidR="00F8231E">
        <w:t xml:space="preserve"> </w:t>
      </w:r>
      <w:r w:rsidR="0068344D">
        <w:t xml:space="preserve">   </w:t>
      </w:r>
      <w:r w:rsidR="00BD43E8">
        <w:t xml:space="preserve">  </w:t>
      </w:r>
      <w:r w:rsidR="001A0264">
        <w:t xml:space="preserve"> </w:t>
      </w:r>
      <w:r w:rsidR="00ED62D1">
        <w:t xml:space="preserve">  </w:t>
      </w:r>
    </w:p>
    <w:p w:rsidR="005D54B9" w:rsidRDefault="00716ADB">
      <w:pPr>
        <w:spacing w:before="100" w:beforeAutospacing="1" w:after="100" w:afterAutospacing="1" w:line="240" w:lineRule="auto"/>
        <w:jc w:val="both"/>
      </w:pPr>
      <w:r>
        <w:lastRenderedPageBreak/>
        <w:t xml:space="preserve">Conclusion; </w:t>
      </w:r>
      <w:r w:rsidR="00C30622">
        <w:t xml:space="preserve">The CT </w:t>
      </w:r>
      <w:r>
        <w:t xml:space="preserve">members will summarize </w:t>
      </w:r>
      <w:r w:rsidR="003A2E5A">
        <w:t xml:space="preserve">the above </w:t>
      </w:r>
      <w:r w:rsidR="004E042B">
        <w:t>mentioned p</w:t>
      </w:r>
      <w:r w:rsidR="003A2E5A">
        <w:t xml:space="preserve">riorities into </w:t>
      </w:r>
      <w:r>
        <w:t xml:space="preserve">5 </w:t>
      </w:r>
      <w:r w:rsidR="003A2E5A">
        <w:t xml:space="preserve">key projects which will be implemented in 2013-2014 </w:t>
      </w:r>
      <w:r w:rsidR="00C30622">
        <w:t xml:space="preserve"> </w:t>
      </w:r>
      <w:r>
        <w:t>and will</w:t>
      </w:r>
      <w:r w:rsidR="003A2E5A">
        <w:t xml:space="preserve"> circulate to all members a final action plan 2013-2014. </w:t>
      </w:r>
    </w:p>
    <w:p w:rsidR="005D54B9" w:rsidRDefault="004E042B">
      <w:pPr>
        <w:spacing w:before="100" w:beforeAutospacing="1" w:after="100" w:afterAutospacing="1" w:line="240" w:lineRule="auto"/>
        <w:jc w:val="both"/>
      </w:pPr>
      <w:r>
        <w:t>Closing remarks</w:t>
      </w:r>
      <w:r w:rsidR="00052FD8">
        <w:t xml:space="preserve">: </w:t>
      </w:r>
      <w:r w:rsidR="00997311">
        <w:t xml:space="preserve">The </w:t>
      </w:r>
      <w:r w:rsidR="001913D5">
        <w:t>chairperson concluded</w:t>
      </w:r>
      <w:r w:rsidR="00997311">
        <w:t xml:space="preserve"> </w:t>
      </w:r>
      <w:r w:rsidR="00052FD8">
        <w:t>a</w:t>
      </w:r>
      <w:r w:rsidR="00997311">
        <w:t xml:space="preserve"> meeting by </w:t>
      </w:r>
      <w:r w:rsidR="00052FD8">
        <w:t xml:space="preserve">delivering </w:t>
      </w:r>
      <w:r w:rsidR="00997311">
        <w:t>thanks to all the participant</w:t>
      </w:r>
      <w:r w:rsidR="000F45E4">
        <w:t xml:space="preserve">s </w:t>
      </w:r>
      <w:r w:rsidR="00052FD8">
        <w:t xml:space="preserve">for their </w:t>
      </w:r>
      <w:r w:rsidR="000F45E4">
        <w:t>active</w:t>
      </w:r>
      <w:r w:rsidR="00052FD8">
        <w:t xml:space="preserve"> participation and</w:t>
      </w:r>
      <w:r w:rsidR="000F45E4">
        <w:t xml:space="preserve"> contribut</w:t>
      </w:r>
      <w:r w:rsidR="00052FD8">
        <w:t>ion to</w:t>
      </w:r>
      <w:r w:rsidR="000F45E4">
        <w:t xml:space="preserve"> </w:t>
      </w:r>
      <w:r w:rsidR="00052FD8">
        <w:t>furnish</w:t>
      </w:r>
      <w:r w:rsidR="000F45E4">
        <w:t xml:space="preserve"> the 1</w:t>
      </w:r>
      <w:r w:rsidR="000F45E4" w:rsidRPr="000F45E4">
        <w:rPr>
          <w:vertAlign w:val="superscript"/>
        </w:rPr>
        <w:t>st</w:t>
      </w:r>
      <w:r w:rsidR="000F45E4">
        <w:t xml:space="preserve"> ever SEAYN meeting </w:t>
      </w:r>
      <w:r w:rsidR="00052FD8">
        <w:t>with success</w:t>
      </w:r>
      <w:r w:rsidR="000F45E4">
        <w:t xml:space="preserve">. </w:t>
      </w:r>
    </w:p>
    <w:p w:rsidR="00C30622" w:rsidRDefault="00C30622" w:rsidP="00C30622">
      <w:pPr>
        <w:spacing w:before="100" w:beforeAutospacing="1" w:after="100" w:afterAutospacing="1" w:line="240" w:lineRule="auto"/>
        <w:ind w:left="360"/>
        <w:jc w:val="both"/>
      </w:pPr>
    </w:p>
    <w:p w:rsidR="00ED62D1" w:rsidRDefault="00ED62D1" w:rsidP="00BF1BA4">
      <w:pPr>
        <w:spacing w:before="100" w:beforeAutospacing="1" w:after="100" w:afterAutospacing="1" w:line="240" w:lineRule="auto"/>
        <w:contextualSpacing/>
        <w:jc w:val="both"/>
        <w:rPr>
          <w:highlight w:val="yellow"/>
        </w:rPr>
      </w:pPr>
    </w:p>
    <w:sectPr w:rsidR="00ED62D1" w:rsidSect="006D4D95">
      <w:headerReference w:type="default" r:id="rId8"/>
      <w:footerReference w:type="default" r:id="rId9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A5" w:rsidRDefault="00FD03A5" w:rsidP="00AB0590">
      <w:pPr>
        <w:spacing w:after="0" w:line="240" w:lineRule="auto"/>
      </w:pPr>
      <w:r>
        <w:separator/>
      </w:r>
    </w:p>
  </w:endnote>
  <w:endnote w:type="continuationSeparator" w:id="0">
    <w:p w:rsidR="00FD03A5" w:rsidRDefault="00FD03A5" w:rsidP="00AB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5A" w:rsidRPr="00455924" w:rsidRDefault="003A2E5A" w:rsidP="00455924">
    <w:pPr>
      <w:pStyle w:val="Footer"/>
      <w:rPr>
        <w:i/>
        <w:sz w:val="20"/>
      </w:rPr>
    </w:pPr>
    <w:r w:rsidRPr="00455924">
      <w:rPr>
        <w:i/>
        <w:sz w:val="20"/>
      </w:rPr>
      <w:t>1</w:t>
    </w:r>
    <w:r w:rsidRPr="00455924">
      <w:rPr>
        <w:i/>
        <w:sz w:val="20"/>
        <w:vertAlign w:val="superscript"/>
      </w:rPr>
      <w:t>st</w:t>
    </w:r>
    <w:r w:rsidRPr="00455924">
      <w:rPr>
        <w:i/>
        <w:sz w:val="20"/>
      </w:rPr>
      <w:t xml:space="preserve"> SEAYN Online Meeting</w:t>
    </w:r>
    <w:r w:rsidR="009D0B1C">
      <w:rPr>
        <w:i/>
        <w:sz w:val="20"/>
      </w:rPr>
      <w:t xml:space="preserve"> Minutes July 2</w:t>
    </w:r>
    <w:r w:rsidR="000E1DFC">
      <w:rPr>
        <w:i/>
        <w:sz w:val="20"/>
      </w:rPr>
      <w:t xml:space="preserve"> minuted by CRC</w:t>
    </w:r>
    <w:r w:rsidRPr="00455924">
      <w:rPr>
        <w:i/>
        <w:sz w:val="20"/>
      </w:rPr>
      <w:tab/>
    </w:r>
    <w:r w:rsidRPr="00455924">
      <w:rPr>
        <w:i/>
        <w:sz w:val="20"/>
      </w:rPr>
      <w:tab/>
    </w:r>
    <w:r>
      <w:rPr>
        <w:i/>
        <w:sz w:val="20"/>
      </w:rPr>
      <w:tab/>
      <w:t xml:space="preserve">            </w:t>
    </w:r>
    <w:sdt>
      <w:sdtPr>
        <w:rPr>
          <w:i/>
          <w:sz w:val="20"/>
        </w:rPr>
        <w:id w:val="1418408"/>
        <w:docPartObj>
          <w:docPartGallery w:val="Page Numbers (Bottom of Page)"/>
          <w:docPartUnique/>
        </w:docPartObj>
      </w:sdtPr>
      <w:sdtContent>
        <w:r w:rsidR="000A5A94" w:rsidRPr="00455924">
          <w:rPr>
            <w:i/>
            <w:sz w:val="20"/>
          </w:rPr>
          <w:fldChar w:fldCharType="begin"/>
        </w:r>
        <w:r w:rsidRPr="00455924">
          <w:rPr>
            <w:i/>
            <w:sz w:val="20"/>
          </w:rPr>
          <w:instrText xml:space="preserve"> PAGE   \* MERGEFORMAT </w:instrText>
        </w:r>
        <w:r w:rsidR="000A5A94" w:rsidRPr="00455924">
          <w:rPr>
            <w:i/>
            <w:sz w:val="20"/>
          </w:rPr>
          <w:fldChar w:fldCharType="separate"/>
        </w:r>
        <w:r w:rsidR="000E1DFC">
          <w:rPr>
            <w:i/>
            <w:noProof/>
            <w:sz w:val="20"/>
          </w:rPr>
          <w:t>1</w:t>
        </w:r>
        <w:r w:rsidR="000A5A94" w:rsidRPr="00455924">
          <w:rPr>
            <w:i/>
            <w:sz w:val="20"/>
          </w:rPr>
          <w:fldChar w:fldCharType="end"/>
        </w:r>
      </w:sdtContent>
    </w:sdt>
  </w:p>
  <w:p w:rsidR="003A2E5A" w:rsidRPr="00175DEF" w:rsidRDefault="003A2E5A">
    <w:pPr>
      <w:pStyle w:val="Footer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A5" w:rsidRDefault="00FD03A5" w:rsidP="00AB0590">
      <w:pPr>
        <w:spacing w:after="0" w:line="240" w:lineRule="auto"/>
      </w:pPr>
      <w:r>
        <w:separator/>
      </w:r>
    </w:p>
  </w:footnote>
  <w:footnote w:type="continuationSeparator" w:id="0">
    <w:p w:rsidR="00FD03A5" w:rsidRDefault="00FD03A5" w:rsidP="00AB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843"/>
      <w:docPartObj>
        <w:docPartGallery w:val="Watermarks"/>
        <w:docPartUnique/>
      </w:docPartObj>
    </w:sdtPr>
    <w:sdtContent>
      <w:p w:rsidR="003A2E5A" w:rsidRDefault="000A5A9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C2A"/>
    <w:multiLevelType w:val="hybridMultilevel"/>
    <w:tmpl w:val="8216FA48"/>
    <w:lvl w:ilvl="0" w:tplc="3FD2AC4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44E77"/>
    <w:multiLevelType w:val="hybridMultilevel"/>
    <w:tmpl w:val="B2888408"/>
    <w:lvl w:ilvl="0" w:tplc="3F42153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983C17"/>
    <w:multiLevelType w:val="hybridMultilevel"/>
    <w:tmpl w:val="E3E0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33DC0"/>
    <w:multiLevelType w:val="hybridMultilevel"/>
    <w:tmpl w:val="B0008C9E"/>
    <w:lvl w:ilvl="0" w:tplc="23D405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195C99"/>
    <w:multiLevelType w:val="hybridMultilevel"/>
    <w:tmpl w:val="CDD4DB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9386B"/>
    <w:multiLevelType w:val="hybridMultilevel"/>
    <w:tmpl w:val="9BD47DC8"/>
    <w:lvl w:ilvl="0" w:tplc="61F8D1D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215A8C"/>
    <w:multiLevelType w:val="hybridMultilevel"/>
    <w:tmpl w:val="1250F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7024A2"/>
    <w:multiLevelType w:val="hybridMultilevel"/>
    <w:tmpl w:val="464071D6"/>
    <w:lvl w:ilvl="0" w:tplc="47E81E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2150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052D"/>
    <w:rsid w:val="00015A4F"/>
    <w:rsid w:val="00017322"/>
    <w:rsid w:val="0001794E"/>
    <w:rsid w:val="00020D19"/>
    <w:rsid w:val="00042187"/>
    <w:rsid w:val="0004751A"/>
    <w:rsid w:val="00051415"/>
    <w:rsid w:val="00052FD8"/>
    <w:rsid w:val="00070964"/>
    <w:rsid w:val="00083203"/>
    <w:rsid w:val="0009088C"/>
    <w:rsid w:val="000A14F8"/>
    <w:rsid w:val="000A5A94"/>
    <w:rsid w:val="000B1926"/>
    <w:rsid w:val="000B5CF8"/>
    <w:rsid w:val="000E1DFC"/>
    <w:rsid w:val="000F45E4"/>
    <w:rsid w:val="0010402D"/>
    <w:rsid w:val="00112A7E"/>
    <w:rsid w:val="001158BA"/>
    <w:rsid w:val="00141E5F"/>
    <w:rsid w:val="0014217A"/>
    <w:rsid w:val="001512D3"/>
    <w:rsid w:val="00154F87"/>
    <w:rsid w:val="00175DEF"/>
    <w:rsid w:val="001913D5"/>
    <w:rsid w:val="001A0264"/>
    <w:rsid w:val="001E5CF5"/>
    <w:rsid w:val="0020549C"/>
    <w:rsid w:val="00214438"/>
    <w:rsid w:val="00231752"/>
    <w:rsid w:val="00241CD0"/>
    <w:rsid w:val="00257878"/>
    <w:rsid w:val="00264483"/>
    <w:rsid w:val="00274376"/>
    <w:rsid w:val="00277EAA"/>
    <w:rsid w:val="002D629F"/>
    <w:rsid w:val="002F35DE"/>
    <w:rsid w:val="00321CA4"/>
    <w:rsid w:val="00322884"/>
    <w:rsid w:val="0035021E"/>
    <w:rsid w:val="00353E78"/>
    <w:rsid w:val="003A2E5A"/>
    <w:rsid w:val="003C33ED"/>
    <w:rsid w:val="004064C7"/>
    <w:rsid w:val="004159A5"/>
    <w:rsid w:val="0042324F"/>
    <w:rsid w:val="00455924"/>
    <w:rsid w:val="00471CCB"/>
    <w:rsid w:val="004E042B"/>
    <w:rsid w:val="004E0CBA"/>
    <w:rsid w:val="004E74C5"/>
    <w:rsid w:val="00521C6F"/>
    <w:rsid w:val="005537B2"/>
    <w:rsid w:val="00556F07"/>
    <w:rsid w:val="00563D71"/>
    <w:rsid w:val="00567E1C"/>
    <w:rsid w:val="005C3FB4"/>
    <w:rsid w:val="005D54B9"/>
    <w:rsid w:val="00630578"/>
    <w:rsid w:val="00642994"/>
    <w:rsid w:val="0064776F"/>
    <w:rsid w:val="0068344D"/>
    <w:rsid w:val="00692BAC"/>
    <w:rsid w:val="006B57DF"/>
    <w:rsid w:val="006D4D95"/>
    <w:rsid w:val="006E41FB"/>
    <w:rsid w:val="00712B0A"/>
    <w:rsid w:val="00715C7C"/>
    <w:rsid w:val="00716ADB"/>
    <w:rsid w:val="00722FA6"/>
    <w:rsid w:val="007576CB"/>
    <w:rsid w:val="007723D3"/>
    <w:rsid w:val="007C36B8"/>
    <w:rsid w:val="007D3BEF"/>
    <w:rsid w:val="007F37E9"/>
    <w:rsid w:val="008132FF"/>
    <w:rsid w:val="00834D8C"/>
    <w:rsid w:val="0086260D"/>
    <w:rsid w:val="008676EE"/>
    <w:rsid w:val="00872254"/>
    <w:rsid w:val="00875FC7"/>
    <w:rsid w:val="00915E84"/>
    <w:rsid w:val="00943AE0"/>
    <w:rsid w:val="00950E94"/>
    <w:rsid w:val="009523EA"/>
    <w:rsid w:val="00985F28"/>
    <w:rsid w:val="00994F49"/>
    <w:rsid w:val="00995CE3"/>
    <w:rsid w:val="00997311"/>
    <w:rsid w:val="009D0B1C"/>
    <w:rsid w:val="009F49EC"/>
    <w:rsid w:val="009F7E3B"/>
    <w:rsid w:val="00A46789"/>
    <w:rsid w:val="00A75ED1"/>
    <w:rsid w:val="00A83062"/>
    <w:rsid w:val="00A83C51"/>
    <w:rsid w:val="00AA1FD1"/>
    <w:rsid w:val="00AB0590"/>
    <w:rsid w:val="00AC5FF6"/>
    <w:rsid w:val="00AE000E"/>
    <w:rsid w:val="00B108D9"/>
    <w:rsid w:val="00B14F34"/>
    <w:rsid w:val="00B261ED"/>
    <w:rsid w:val="00B77896"/>
    <w:rsid w:val="00BA226D"/>
    <w:rsid w:val="00BB3E25"/>
    <w:rsid w:val="00BC02E9"/>
    <w:rsid w:val="00BD43E8"/>
    <w:rsid w:val="00BF1BA4"/>
    <w:rsid w:val="00C25D6A"/>
    <w:rsid w:val="00C30622"/>
    <w:rsid w:val="00C7024C"/>
    <w:rsid w:val="00C71C31"/>
    <w:rsid w:val="00CA6F5A"/>
    <w:rsid w:val="00CB0EC6"/>
    <w:rsid w:val="00CB4E1A"/>
    <w:rsid w:val="00CC2F63"/>
    <w:rsid w:val="00CD7C0F"/>
    <w:rsid w:val="00D22638"/>
    <w:rsid w:val="00D5035A"/>
    <w:rsid w:val="00D73994"/>
    <w:rsid w:val="00D931B9"/>
    <w:rsid w:val="00DA4239"/>
    <w:rsid w:val="00DE567E"/>
    <w:rsid w:val="00DE79DF"/>
    <w:rsid w:val="00E13DF6"/>
    <w:rsid w:val="00E52CA6"/>
    <w:rsid w:val="00E67FCE"/>
    <w:rsid w:val="00E71B67"/>
    <w:rsid w:val="00E86BE4"/>
    <w:rsid w:val="00EB3EF9"/>
    <w:rsid w:val="00ED62D1"/>
    <w:rsid w:val="00EF7BDF"/>
    <w:rsid w:val="00F05AC8"/>
    <w:rsid w:val="00F266A4"/>
    <w:rsid w:val="00F3052D"/>
    <w:rsid w:val="00F349AC"/>
    <w:rsid w:val="00F73771"/>
    <w:rsid w:val="00F8231E"/>
    <w:rsid w:val="00FC139A"/>
    <w:rsid w:val="00FD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AC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C8"/>
    <w:rPr>
      <w:rFonts w:ascii="Tahoma" w:hAnsi="Tahoma" w:cs="Tahoma"/>
      <w:sz w:val="16"/>
      <w:szCs w:val="26"/>
    </w:rPr>
  </w:style>
  <w:style w:type="paragraph" w:styleId="NormalWeb">
    <w:name w:val="Normal (Web)"/>
    <w:basedOn w:val="Normal"/>
    <w:uiPriority w:val="99"/>
    <w:semiHidden/>
    <w:unhideWhenUsed/>
    <w:rsid w:val="009F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B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590"/>
  </w:style>
  <w:style w:type="paragraph" w:styleId="Footer">
    <w:name w:val="footer"/>
    <w:basedOn w:val="Normal"/>
    <w:link w:val="FooterChar"/>
    <w:uiPriority w:val="99"/>
    <w:unhideWhenUsed/>
    <w:rsid w:val="00AB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90"/>
  </w:style>
  <w:style w:type="character" w:styleId="CommentReference">
    <w:name w:val="annotation reference"/>
    <w:basedOn w:val="DefaultParagraphFont"/>
    <w:uiPriority w:val="99"/>
    <w:semiHidden/>
    <w:unhideWhenUsed/>
    <w:rsid w:val="00015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4F"/>
    <w:rPr>
      <w:b/>
      <w:bCs/>
    </w:rPr>
  </w:style>
  <w:style w:type="table" w:styleId="TableGrid">
    <w:name w:val="Table Grid"/>
    <w:basedOn w:val="TableNormal"/>
    <w:uiPriority w:val="59"/>
    <w:rsid w:val="00CB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AC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C8"/>
    <w:rPr>
      <w:rFonts w:ascii="Tahoma" w:hAnsi="Tahoma" w:cs="Tahoma"/>
      <w:sz w:val="16"/>
      <w:szCs w:val="26"/>
    </w:rPr>
  </w:style>
  <w:style w:type="paragraph" w:styleId="NormalWeb">
    <w:name w:val="Normal (Web)"/>
    <w:basedOn w:val="Normal"/>
    <w:uiPriority w:val="99"/>
    <w:semiHidden/>
    <w:unhideWhenUsed/>
    <w:rsid w:val="009F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B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590"/>
  </w:style>
  <w:style w:type="paragraph" w:styleId="Footer">
    <w:name w:val="footer"/>
    <w:basedOn w:val="Normal"/>
    <w:link w:val="FooterChar"/>
    <w:uiPriority w:val="99"/>
    <w:unhideWhenUsed/>
    <w:rsid w:val="00AB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27ABA-E9BC-4B8A-A121-567BCF5F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Kumju Ho</cp:lastModifiedBy>
  <cp:revision>3</cp:revision>
  <dcterms:created xsi:type="dcterms:W3CDTF">2013-07-08T08:45:00Z</dcterms:created>
  <dcterms:modified xsi:type="dcterms:W3CDTF">2013-08-13T02:38:00Z</dcterms:modified>
</cp:coreProperties>
</file>