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bookmarkStart w:id="0" w:name="_GoBack"/>
      <w:bookmarkEnd w:id="0"/>
      <w:r w:rsidRPr="003A6CA9">
        <w:rPr>
          <w:color w:val="FF0000"/>
        </w:rPr>
        <w:t xml:space="preserve">International Federation of Red Cross and Red Crescent Societies </w:t>
      </w:r>
    </w:p>
    <w:p w:rsidR="00E91D9D" w:rsidRDefault="005B6DC8" w:rsidP="00E91D9D">
      <w:pPr>
        <w:pStyle w:val="Projectsubtitle"/>
        <w:rPr>
          <w:rStyle w:val="Hyperlink"/>
          <w:rFonts w:ascii="Arial" w:hAnsi="Arial"/>
        </w:rPr>
      </w:pPr>
      <w:r>
        <w:rPr>
          <w:rFonts w:ascii="Arial Bold" w:hAnsi="Arial Bold"/>
          <w:sz w:val="52"/>
        </w:rPr>
        <w:t>KEY MESSAGES</w:t>
      </w:r>
    </w:p>
    <w:p w:rsidR="002722F8" w:rsidRPr="005B6DC8" w:rsidRDefault="00A82E98" w:rsidP="005B6DC8">
      <w:pPr>
        <w:pStyle w:val="Projectsubtitle"/>
        <w:rPr>
          <w:rFonts w:ascii="Arial" w:hAnsi="Arial" w:cs="Arial"/>
          <w:b/>
          <w:bCs/>
          <w:color w:val="595959"/>
        </w:rPr>
      </w:pPr>
      <w:r>
        <w:rPr>
          <w:rStyle w:val="Hyperlink"/>
          <w:rFonts w:ascii="Arial" w:hAnsi="Arial" w:cs="Arial"/>
          <w:b/>
          <w:bCs/>
          <w:color w:val="auto"/>
          <w:u w:val="none"/>
        </w:rPr>
        <w:t xml:space="preserve">International Day for Disaster </w:t>
      </w:r>
      <w:r w:rsidR="0007112B">
        <w:rPr>
          <w:rStyle w:val="Hyperlink"/>
          <w:rFonts w:ascii="Arial" w:hAnsi="Arial" w:cs="Arial"/>
          <w:b/>
          <w:bCs/>
          <w:color w:val="auto"/>
          <w:u w:val="none"/>
        </w:rPr>
        <w:t xml:space="preserve">Reduction </w:t>
      </w:r>
      <w:r>
        <w:rPr>
          <w:rStyle w:val="Hyperlink"/>
          <w:rFonts w:ascii="Arial" w:hAnsi="Arial" w:cs="Arial"/>
          <w:b/>
          <w:bCs/>
          <w:color w:val="auto"/>
          <w:u w:val="none"/>
        </w:rPr>
        <w:t>/ ASEAN Day for Disaster Management 2015</w:t>
      </w:r>
      <w:r w:rsidRPr="008A7483">
        <w:rPr>
          <w:rStyle w:val="Hyperlink"/>
          <w:rFonts w:ascii="Arial" w:hAnsi="Arial" w:cs="Arial"/>
          <w:b/>
          <w:bCs/>
          <w:color w:val="auto"/>
          <w:u w:val="none"/>
        </w:rPr>
        <w:t xml:space="preserve"> / </w:t>
      </w:r>
      <w:r>
        <w:rPr>
          <w:rStyle w:val="Hyperlink"/>
          <w:rFonts w:ascii="Arial" w:hAnsi="Arial" w:cs="Arial"/>
          <w:b/>
          <w:bCs/>
          <w:color w:val="FF0000"/>
          <w:u w:val="none"/>
        </w:rPr>
        <w:t xml:space="preserve">Southeast </w:t>
      </w:r>
      <w:r w:rsidRPr="008A7483">
        <w:rPr>
          <w:rStyle w:val="Hyperlink"/>
          <w:rFonts w:ascii="Arial" w:hAnsi="Arial" w:cs="Arial"/>
          <w:b/>
          <w:bCs/>
          <w:color w:val="FF0000"/>
          <w:u w:val="none"/>
        </w:rPr>
        <w:t xml:space="preserve">Asia </w:t>
      </w:r>
      <w:r w:rsidRPr="008A7483">
        <w:rPr>
          <w:rFonts w:ascii="Arial" w:hAnsi="Arial" w:cs="Arial"/>
          <w:b/>
          <w:bCs/>
          <w:color w:val="595959"/>
        </w:rPr>
        <w:t xml:space="preserve">/ </w:t>
      </w:r>
      <w:r w:rsidR="0007112B">
        <w:rPr>
          <w:rFonts w:ascii="Arial" w:hAnsi="Arial" w:cs="Arial"/>
          <w:b/>
          <w:bCs/>
          <w:color w:val="595959"/>
        </w:rPr>
        <w:t>13 October 2015</w:t>
      </w:r>
    </w:p>
    <w:p w:rsidR="002722F8" w:rsidRPr="00A55F6C" w:rsidRDefault="002722F8" w:rsidP="00A55F6C">
      <w:pPr>
        <w:spacing w:before="0"/>
        <w:rPr>
          <w:b/>
          <w:bCs/>
        </w:rPr>
      </w:pPr>
    </w:p>
    <w:p w:rsidR="005B6DC8" w:rsidRPr="00D96F73" w:rsidRDefault="005B6DC8" w:rsidP="005B6DC8">
      <w:pPr>
        <w:pStyle w:val="Projectsubtitle"/>
        <w:rPr>
          <w:rFonts w:ascii="Arial" w:hAnsi="Arial" w:cs="Arial"/>
          <w:i/>
          <w:iCs/>
        </w:rPr>
      </w:pPr>
      <w:r w:rsidRPr="00D96F73">
        <w:rPr>
          <w:rFonts w:ascii="Arial" w:hAnsi="Arial" w:cs="Arial"/>
          <w:i/>
          <w:iCs/>
          <w:color w:val="595959"/>
        </w:rPr>
        <w:t>The following messages aim to provide cohesive or coordinated messaging to National Societies in Southeast Asia, which reinforce the Red Cross Red Crescent network, and relations with ASEAN, National Disaster Management Offices, local officials and other partners. The messages can be used for advocacy, speeches, media relations and more.</w:t>
      </w:r>
    </w:p>
    <w:p w:rsidR="000B0F39" w:rsidRPr="000B0F39" w:rsidRDefault="000B0F39" w:rsidP="000B0F39"/>
    <w:p w:rsidR="00407FAC" w:rsidRPr="00A83C6F" w:rsidRDefault="006932B8" w:rsidP="000222EF">
      <w:pPr>
        <w:pStyle w:val="ListParagraph"/>
        <w:numPr>
          <w:ilvl w:val="0"/>
          <w:numId w:val="14"/>
        </w:numPr>
        <w:spacing w:before="0"/>
        <w:rPr>
          <w:i/>
        </w:rPr>
      </w:pPr>
      <w:r w:rsidRPr="00A83C6F">
        <w:rPr>
          <w:b/>
          <w:i/>
        </w:rPr>
        <w:t xml:space="preserve">The Red Cross Red Crescent </w:t>
      </w:r>
      <w:r w:rsidR="00407FAC" w:rsidRPr="00A83C6F">
        <w:rPr>
          <w:b/>
          <w:i/>
        </w:rPr>
        <w:t>contributes to a more resilient</w:t>
      </w:r>
      <w:r w:rsidRPr="00A83C6F">
        <w:rPr>
          <w:b/>
          <w:i/>
        </w:rPr>
        <w:t xml:space="preserve"> ASEAN </w:t>
      </w:r>
      <w:r w:rsidR="00407FAC" w:rsidRPr="00A83C6F">
        <w:rPr>
          <w:b/>
          <w:i/>
        </w:rPr>
        <w:t xml:space="preserve"> </w:t>
      </w:r>
    </w:p>
    <w:p w:rsidR="00A83C6F" w:rsidRDefault="00621955" w:rsidP="000222EF">
      <w:pPr>
        <w:pStyle w:val="ListParagraph"/>
        <w:spacing w:before="0"/>
        <w:ind w:left="360"/>
      </w:pPr>
      <w:r>
        <w:t>Every day</w:t>
      </w:r>
      <w:r w:rsidR="004465B7">
        <w:t xml:space="preserve"> across ASEAN</w:t>
      </w:r>
      <w:r>
        <w:t xml:space="preserve">, </w:t>
      </w:r>
      <w:r w:rsidR="00407FAC">
        <w:t>National Red Cross and Red Crescent S</w:t>
      </w:r>
      <w:r>
        <w:t xml:space="preserve">ocieties contribute to building safer, healthier communities. </w:t>
      </w:r>
      <w:r w:rsidR="00FE0EBD">
        <w:t xml:space="preserve">In one of the most disaster-prone regions of the world, ASEAN Day for Disaster Management </w:t>
      </w:r>
      <w:r w:rsidR="00E43F89">
        <w:t xml:space="preserve">is </w:t>
      </w:r>
      <w:r w:rsidR="00A83C6F">
        <w:t>a</w:t>
      </w:r>
      <w:r w:rsidR="00E43F89">
        <w:t xml:space="preserve"> critical moment </w:t>
      </w:r>
      <w:r w:rsidR="00FE0EBD">
        <w:t>for the Red Cross Red Crescent and our partners, to mark our collective effort</w:t>
      </w:r>
      <w:r w:rsidR="00E43F89">
        <w:t>s</w:t>
      </w:r>
      <w:r w:rsidR="00CC3A3F">
        <w:t xml:space="preserve"> in disaster risk reduction</w:t>
      </w:r>
      <w:r w:rsidR="00E43F89">
        <w:t xml:space="preserve">. </w:t>
      </w:r>
      <w:r w:rsidR="00A83C6F">
        <w:t xml:space="preserve">We call on all partners to use this opportunity to not only </w:t>
      </w:r>
      <w:r w:rsidR="00E43F89">
        <w:t>be reminded of the importance of investing in disaster risk reduction, but to also encourage every citizen and government to take part in building more resilient communities, to ensure that “ASEAN is resilient as one”.</w:t>
      </w:r>
    </w:p>
    <w:p w:rsidR="004465B7" w:rsidRPr="00FE0EBD" w:rsidRDefault="004465B7" w:rsidP="000222EF">
      <w:pPr>
        <w:pStyle w:val="ListParagraph"/>
        <w:spacing w:before="0"/>
        <w:ind w:left="360"/>
      </w:pPr>
    </w:p>
    <w:p w:rsidR="005A73A9" w:rsidRPr="005A73A9" w:rsidRDefault="005A73A9" w:rsidP="000222EF">
      <w:pPr>
        <w:spacing w:before="0"/>
      </w:pPr>
    </w:p>
    <w:p w:rsidR="00407FAC" w:rsidRPr="00407FAC" w:rsidRDefault="006C6A0D" w:rsidP="000222EF">
      <w:pPr>
        <w:pStyle w:val="ListParagraph"/>
        <w:numPr>
          <w:ilvl w:val="0"/>
          <w:numId w:val="14"/>
        </w:numPr>
        <w:spacing w:before="0"/>
      </w:pPr>
      <w:r w:rsidRPr="00710405">
        <w:rPr>
          <w:b/>
          <w:bCs/>
          <w:i/>
          <w:iCs/>
        </w:rPr>
        <w:t>Disaster risk reduction is at the heart of the Red Cross Red Crescent’s mandate</w:t>
      </w:r>
    </w:p>
    <w:p w:rsidR="00130A1D" w:rsidRDefault="00817812" w:rsidP="000222EF">
      <w:pPr>
        <w:spacing w:before="0"/>
        <w:ind w:left="360"/>
      </w:pPr>
      <w:r>
        <w:t xml:space="preserve">From a global to a local level, </w:t>
      </w:r>
      <w:r w:rsidR="00407FAC">
        <w:t xml:space="preserve">National Red Cross and Red Crescent </w:t>
      </w:r>
      <w:r w:rsidR="00074732" w:rsidRPr="00F7616A">
        <w:t>Societies</w:t>
      </w:r>
      <w:r w:rsidR="00407FAC">
        <w:t xml:space="preserve"> are committed to </w:t>
      </w:r>
      <w:r w:rsidR="006C6A0D" w:rsidRPr="00F7616A">
        <w:t>helping communities prepare for and recover from disasters and crises</w:t>
      </w:r>
      <w:r w:rsidR="00710405" w:rsidRPr="00F7616A">
        <w:t>.</w:t>
      </w:r>
      <w:r w:rsidR="004E5993" w:rsidRPr="004E5993">
        <w:t xml:space="preserve"> </w:t>
      </w:r>
      <w:r w:rsidR="004E5993">
        <w:t xml:space="preserve">Our investment globally in disaster risk reduction has almost doubled since 2009. </w:t>
      </w:r>
      <w:r w:rsidR="00407FAC">
        <w:t xml:space="preserve"> In 2013, the IFRC and its member National Societies reached over 12 million people in Asi</w:t>
      </w:r>
      <w:r w:rsidR="00A315AA">
        <w:t xml:space="preserve">a Pacific through disaster risk reduction </w:t>
      </w:r>
      <w:r w:rsidR="00FE0EBD">
        <w:t>programs</w:t>
      </w:r>
      <w:r w:rsidR="00407FAC">
        <w:t>.</w:t>
      </w:r>
      <w:r w:rsidR="00407FAC">
        <w:rPr>
          <w:rStyle w:val="FootnoteReference"/>
        </w:rPr>
        <w:footnoteReference w:id="1"/>
      </w:r>
      <w:r w:rsidR="00FE0EBD">
        <w:t xml:space="preserve"> </w:t>
      </w:r>
    </w:p>
    <w:p w:rsidR="00130A1D" w:rsidRDefault="00130A1D" w:rsidP="000222EF">
      <w:pPr>
        <w:spacing w:before="0"/>
        <w:ind w:left="360"/>
      </w:pPr>
    </w:p>
    <w:p w:rsidR="00526F5D" w:rsidRPr="00F7616A" w:rsidRDefault="00130A1D" w:rsidP="00526F5D">
      <w:pPr>
        <w:pStyle w:val="ListParagraph"/>
        <w:spacing w:before="0"/>
        <w:ind w:left="360"/>
      </w:pPr>
      <w:r>
        <w:t xml:space="preserve">For the IFRC, disaster response and disaster risk reduction go hand-in-hand. </w:t>
      </w:r>
      <w:r w:rsidR="00817812">
        <w:t xml:space="preserve">Together with community-based volunteers, </w:t>
      </w:r>
      <w:r w:rsidR="00546652">
        <w:t>we</w:t>
      </w:r>
      <w:r w:rsidR="00817812">
        <w:t xml:space="preserve"> </w:t>
      </w:r>
      <w:r w:rsidR="00546652">
        <w:t>provide</w:t>
      </w:r>
      <w:r w:rsidR="00817812">
        <w:t xml:space="preserve"> life-saving information and training on disaster preparedness, strengthening the knowledge and capacity of young children and their families. At </w:t>
      </w:r>
      <w:r w:rsidR="00490A41">
        <w:t>the</w:t>
      </w:r>
      <w:r w:rsidR="00817812">
        <w:t xml:space="preserve"> national level</w:t>
      </w:r>
      <w:r w:rsidR="00490A41">
        <w:t>,</w:t>
      </w:r>
      <w:r w:rsidR="00817812">
        <w:t xml:space="preserve"> as an auxiliary role to public authorities, National Societies work with government counterparts to ensure there are effective legal frameworks in place to minimize the impact of disasters when they strike.</w:t>
      </w:r>
      <w:r w:rsidR="00526F5D" w:rsidRPr="00526F5D">
        <w:t xml:space="preserve"> </w:t>
      </w:r>
    </w:p>
    <w:p w:rsidR="00817812" w:rsidRPr="00A325AE" w:rsidRDefault="00817812" w:rsidP="00130A1D">
      <w:pPr>
        <w:spacing w:before="0"/>
        <w:ind w:left="360"/>
      </w:pPr>
    </w:p>
    <w:p w:rsidR="009C23C3" w:rsidRPr="00371DEA" w:rsidRDefault="009C23C3" w:rsidP="009C23C3">
      <w:pPr>
        <w:pStyle w:val="ListParagraph"/>
        <w:numPr>
          <w:ilvl w:val="0"/>
          <w:numId w:val="14"/>
        </w:numPr>
        <w:spacing w:before="0"/>
      </w:pPr>
      <w:r w:rsidRPr="00710405">
        <w:rPr>
          <w:b/>
          <w:bCs/>
          <w:i/>
          <w:iCs/>
        </w:rPr>
        <w:t xml:space="preserve">Communities </w:t>
      </w:r>
      <w:r>
        <w:rPr>
          <w:b/>
          <w:bCs/>
          <w:i/>
          <w:iCs/>
        </w:rPr>
        <w:t xml:space="preserve">must be kept at the center for successful resilience to disasters </w:t>
      </w:r>
    </w:p>
    <w:p w:rsidR="009C23C3" w:rsidRPr="006C3345" w:rsidRDefault="009C23C3" w:rsidP="009C23C3">
      <w:pPr>
        <w:spacing w:before="0"/>
        <w:ind w:left="360"/>
      </w:pPr>
      <w:r>
        <w:t xml:space="preserve">In line with the Sendai Framework for Disaster Risk Reduction, the approach of the Red Cross Red Crescent to resilience is </w:t>
      </w:r>
      <w:r w:rsidRPr="00F7616A">
        <w:t xml:space="preserve">“people-focused and action-oriented”. Across Southeast Asia, </w:t>
      </w:r>
      <w:r>
        <w:t>National</w:t>
      </w:r>
      <w:r w:rsidRPr="00F7616A">
        <w:t xml:space="preserve"> Societies are making communities safer through </w:t>
      </w:r>
      <w:r>
        <w:t>disaster risk reduction programs. The Red Cross Red Crescent empowers people through education, information and trainings, so they serve as a life-long resource within their own communities.</w:t>
      </w:r>
      <w:r w:rsidRPr="00F52EE2">
        <w:t xml:space="preserve"> </w:t>
      </w:r>
      <w:r w:rsidRPr="0004149E">
        <w:t>Our staff and volunteers are embedded in the communities they serve and have a unique understanding of the</w:t>
      </w:r>
      <w:r>
        <w:t>ir</w:t>
      </w:r>
      <w:r w:rsidRPr="0004149E">
        <w:t xml:space="preserve"> context.</w:t>
      </w:r>
    </w:p>
    <w:p w:rsidR="009C23C3" w:rsidRDefault="009C23C3" w:rsidP="009C23C3">
      <w:pPr>
        <w:spacing w:before="0"/>
      </w:pPr>
    </w:p>
    <w:p w:rsidR="009C23C3" w:rsidRDefault="009C23C3" w:rsidP="009C23C3">
      <w:pPr>
        <w:pStyle w:val="ListParagraph"/>
        <w:spacing w:before="0"/>
        <w:ind w:left="360"/>
      </w:pPr>
      <w:r>
        <w:t xml:space="preserve">As part of our ongoing efforts, the </w:t>
      </w:r>
      <w:hyperlink r:id="rId9" w:history="1">
        <w:r w:rsidRPr="0062645F">
          <w:rPr>
            <w:rStyle w:val="Hyperlink"/>
            <w:b/>
            <w:bCs/>
          </w:rPr>
          <w:t>One Billion Coalition for Resilience</w:t>
        </w:r>
      </w:hyperlink>
      <w:r>
        <w:t xml:space="preserve"> was launched at the World Conference in Sendai, in order to reinforce the importance of </w:t>
      </w:r>
      <w:r w:rsidRPr="006C6A0D">
        <w:t xml:space="preserve">community and civic action </w:t>
      </w:r>
      <w:r>
        <w:t>for</w:t>
      </w:r>
      <w:r w:rsidRPr="006C6A0D">
        <w:t xml:space="preserve"> resilience.</w:t>
      </w:r>
      <w:r>
        <w:t xml:space="preserve"> </w:t>
      </w:r>
      <w:r w:rsidRPr="006C6A0D">
        <w:t>Within the next ten years, the goal of the coalition is to engage at least one person in every household around the world in active steps towards enhancing community resilience.</w:t>
      </w:r>
    </w:p>
    <w:p w:rsidR="009C23C3" w:rsidRDefault="009C23C3" w:rsidP="009C23C3">
      <w:pPr>
        <w:pStyle w:val="ListParagraph"/>
        <w:spacing w:before="0"/>
        <w:ind w:left="360"/>
      </w:pPr>
    </w:p>
    <w:p w:rsidR="00831D0A" w:rsidRDefault="00831D0A" w:rsidP="009C23C3">
      <w:pPr>
        <w:pStyle w:val="ListParagraph"/>
        <w:spacing w:before="0"/>
        <w:ind w:left="360"/>
      </w:pPr>
    </w:p>
    <w:p w:rsidR="00FE5042" w:rsidRDefault="00407FAC" w:rsidP="000222EF">
      <w:pPr>
        <w:pStyle w:val="ListParagraph"/>
        <w:numPr>
          <w:ilvl w:val="0"/>
          <w:numId w:val="14"/>
        </w:numPr>
        <w:spacing w:before="0"/>
      </w:pPr>
      <w:r>
        <w:rPr>
          <w:b/>
          <w:bCs/>
          <w:i/>
          <w:iCs/>
        </w:rPr>
        <w:lastRenderedPageBreak/>
        <w:t xml:space="preserve">Partnership is key to strengthening the resilience of communities </w:t>
      </w:r>
    </w:p>
    <w:p w:rsidR="001326F9" w:rsidRPr="00F82AFC" w:rsidRDefault="005C5025" w:rsidP="00F82AFC">
      <w:pPr>
        <w:pStyle w:val="ListParagraph"/>
        <w:spacing w:before="0"/>
        <w:ind w:left="360"/>
        <w:rPr>
          <w:rFonts w:cs="Arial"/>
        </w:rPr>
      </w:pPr>
      <w:r>
        <w:t>Everyone has a role to play in strengthening community resilie</w:t>
      </w:r>
      <w:r w:rsidR="00403FD3">
        <w:t>nce within ASEAN. T</w:t>
      </w:r>
      <w:r w:rsidR="00F82AFC">
        <w:t>he challenges we face from</w:t>
      </w:r>
      <w:r w:rsidR="00403FD3">
        <w:t xml:space="preserve"> disasters and climate change cannot be addressed alone; it requires </w:t>
      </w:r>
      <w:r w:rsidR="00403FD3" w:rsidRPr="00403FD3">
        <w:rPr>
          <w:rFonts w:cs="Arial"/>
        </w:rPr>
        <w:t>partnership between the Red Cross Red Crescent,</w:t>
      </w:r>
      <w:r w:rsidR="00F82AFC">
        <w:rPr>
          <w:rFonts w:cs="Arial"/>
        </w:rPr>
        <w:t xml:space="preserve"> the private sector,</w:t>
      </w:r>
      <w:r w:rsidR="00403FD3" w:rsidRPr="00403FD3">
        <w:rPr>
          <w:rFonts w:cs="Arial"/>
        </w:rPr>
        <w:t xml:space="preserve"> government, non-government actors</w:t>
      </w:r>
      <w:r w:rsidR="00403FD3" w:rsidRPr="00F82AFC">
        <w:rPr>
          <w:rFonts w:cs="Arial"/>
        </w:rPr>
        <w:t xml:space="preserve">, civil society, international NGOs, </w:t>
      </w:r>
      <w:r w:rsidR="00526F5D">
        <w:rPr>
          <w:rFonts w:cs="Arial"/>
        </w:rPr>
        <w:t xml:space="preserve">intergovernmental actors, </w:t>
      </w:r>
      <w:r w:rsidR="00403FD3" w:rsidRPr="00F82AFC">
        <w:rPr>
          <w:rFonts w:cs="Arial"/>
        </w:rPr>
        <w:t xml:space="preserve">and most importantly, local actors. </w:t>
      </w:r>
    </w:p>
    <w:p w:rsidR="00403FD3" w:rsidRPr="00F82AFC" w:rsidRDefault="00403FD3" w:rsidP="000222EF">
      <w:pPr>
        <w:pStyle w:val="ListParagraph"/>
        <w:spacing w:before="0"/>
        <w:ind w:left="360"/>
        <w:rPr>
          <w:rFonts w:cs="Arial"/>
        </w:rPr>
      </w:pPr>
    </w:p>
    <w:p w:rsidR="00403FD3" w:rsidRPr="00403FD3" w:rsidRDefault="0062645F" w:rsidP="0062645F">
      <w:pPr>
        <w:pBdr>
          <w:top w:val="nil"/>
          <w:left w:val="nil"/>
          <w:bottom w:val="nil"/>
          <w:right w:val="nil"/>
          <w:between w:val="nil"/>
          <w:bar w:val="nil"/>
        </w:pBdr>
        <w:shd w:val="clear" w:color="auto" w:fill="FFFFFF"/>
        <w:spacing w:before="0" w:after="120"/>
        <w:ind w:left="360"/>
        <w:rPr>
          <w:rFonts w:eastAsia="Trebuchet MS" w:cs="Arial"/>
        </w:rPr>
      </w:pPr>
      <w:r>
        <w:rPr>
          <w:rFonts w:eastAsia="Calibri" w:cs="Arial"/>
          <w:szCs w:val="22"/>
        </w:rPr>
        <w:t>As highlighted in the World Disasters Report 2015, each year</w:t>
      </w:r>
      <w:r w:rsidR="00403FD3" w:rsidRPr="00F82AFC">
        <w:rPr>
          <w:rFonts w:eastAsia="Calibri" w:cs="Arial"/>
          <w:szCs w:val="22"/>
        </w:rPr>
        <w:t xml:space="preserve"> $20billion US dollar is invested in vital humanitarian assistance, including disaster response and resilience initiatives. Just 1.6 per cent of this is directed to local non-government organizations.</w:t>
      </w:r>
      <w:r w:rsidR="00F82AFC" w:rsidRPr="00F82AFC">
        <w:rPr>
          <w:rStyle w:val="FootnoteReference"/>
          <w:rFonts w:eastAsia="Calibri" w:cs="Arial"/>
          <w:szCs w:val="22"/>
        </w:rPr>
        <w:footnoteReference w:id="2"/>
      </w:r>
      <w:r w:rsidR="00403FD3" w:rsidRPr="00F82AFC">
        <w:rPr>
          <w:rFonts w:eastAsia="Calibri" w:cs="Arial"/>
          <w:szCs w:val="22"/>
        </w:rPr>
        <w:t xml:space="preserve"> This discrepancy points to an imbalance between the rhetoric of localizing aid and the reality. The humanitarian community must work together to ensure more equal partnerships which direct resources directly – or through national entities – to community level, where humanitarian needs are the greatest and development impacts are felt the most. </w:t>
      </w:r>
    </w:p>
    <w:p w:rsidR="00403FD3" w:rsidRDefault="00403FD3" w:rsidP="000222EF">
      <w:pPr>
        <w:pStyle w:val="ListParagraph"/>
        <w:spacing w:before="0"/>
        <w:ind w:left="360"/>
      </w:pPr>
    </w:p>
    <w:p w:rsidR="008F6BA6" w:rsidRDefault="006D6301" w:rsidP="00526F5D">
      <w:pPr>
        <w:pStyle w:val="ListParagraph"/>
        <w:spacing w:before="0"/>
        <w:ind w:left="360"/>
      </w:pPr>
      <w:r w:rsidRPr="00F7616A">
        <w:t xml:space="preserve">In </w:t>
      </w:r>
      <w:r w:rsidR="00074732" w:rsidRPr="00F7616A">
        <w:t xml:space="preserve">their </w:t>
      </w:r>
      <w:r w:rsidR="00C01059" w:rsidRPr="00F7616A">
        <w:t>a</w:t>
      </w:r>
      <w:r w:rsidR="00C94640" w:rsidRPr="00F7616A">
        <w:t>uxiliary ro</w:t>
      </w:r>
      <w:r w:rsidR="00FE5042">
        <w:t>le to public authorities</w:t>
      </w:r>
      <w:r w:rsidR="00C01059" w:rsidRPr="00F7616A">
        <w:t xml:space="preserve">, </w:t>
      </w:r>
      <w:r w:rsidR="008F6BA6">
        <w:t xml:space="preserve">National Societies are in a unique position to also complement the efforts in disaster risk reduction and disaster management with the authorities, </w:t>
      </w:r>
      <w:r w:rsidR="00526F5D">
        <w:t>helping to bring all actors together in partnership for the benefit of communities at risk.</w:t>
      </w:r>
    </w:p>
    <w:p w:rsidR="00710405" w:rsidRDefault="00710405" w:rsidP="000335CF"/>
    <w:p w:rsidR="003B57E2" w:rsidRPr="003B57E2" w:rsidRDefault="00F7616A" w:rsidP="00F7616A">
      <w:pPr>
        <w:pStyle w:val="ListParagraph"/>
        <w:numPr>
          <w:ilvl w:val="0"/>
          <w:numId w:val="14"/>
        </w:numPr>
        <w:spacing w:before="0"/>
      </w:pPr>
      <w:r w:rsidRPr="00F7616A">
        <w:rPr>
          <w:b/>
          <w:bCs/>
          <w:i/>
          <w:iCs/>
        </w:rPr>
        <w:t>T</w:t>
      </w:r>
      <w:r w:rsidR="003B57E2">
        <w:rPr>
          <w:b/>
          <w:bCs/>
          <w:i/>
          <w:iCs/>
        </w:rPr>
        <w:t>raditional knowledge should be valued</w:t>
      </w:r>
      <w:r w:rsidR="00130330">
        <w:rPr>
          <w:b/>
          <w:bCs/>
          <w:i/>
          <w:iCs/>
        </w:rPr>
        <w:t xml:space="preserve"> and it is key to reducing risk</w:t>
      </w:r>
    </w:p>
    <w:p w:rsidR="003B57E2" w:rsidRDefault="003B57E2" w:rsidP="00130330">
      <w:pPr>
        <w:pStyle w:val="ListParagraph"/>
        <w:spacing w:before="0"/>
        <w:ind w:left="360"/>
      </w:pPr>
      <w:r>
        <w:t>National Red Cross and Red Crescent</w:t>
      </w:r>
      <w:r w:rsidR="00F7616A">
        <w:t xml:space="preserve"> S</w:t>
      </w:r>
      <w:r w:rsidR="00C94640">
        <w:t xml:space="preserve">ocieties </w:t>
      </w:r>
      <w:r w:rsidR="00130330">
        <w:t>recognize the importance of integrating t</w:t>
      </w:r>
      <w:r w:rsidR="00C94640" w:rsidRPr="00F7616A">
        <w:t xml:space="preserve">raditional, indigenous and local knowledge and practices </w:t>
      </w:r>
      <w:r w:rsidR="00130330">
        <w:t>for disaster risk reduction</w:t>
      </w:r>
      <w:r w:rsidR="00C94640" w:rsidRPr="00F7616A">
        <w:t>.</w:t>
      </w:r>
      <w:r w:rsidR="00130330">
        <w:t xml:space="preserve"> Traditional knowledge can help us understand how people respond to, and live with risk.</w:t>
      </w:r>
      <w:r w:rsidR="00074732" w:rsidRPr="00F7616A">
        <w:t xml:space="preserve"> By combining </w:t>
      </w:r>
      <w:r w:rsidR="00130330">
        <w:t xml:space="preserve">this expertise </w:t>
      </w:r>
      <w:r w:rsidR="00074732" w:rsidRPr="00F7616A">
        <w:t>with scientific knowledge, the impact of disasters on communities</w:t>
      </w:r>
      <w:r w:rsidR="00074732">
        <w:t xml:space="preserve"> could be significantly reduced.</w:t>
      </w:r>
      <w:r w:rsidRPr="003B57E2">
        <w:rPr>
          <w:rFonts w:cs="Arial"/>
        </w:rPr>
        <w:t xml:space="preserve"> </w:t>
      </w:r>
      <w:r w:rsidR="00130330">
        <w:rPr>
          <w:rFonts w:cs="Arial"/>
        </w:rPr>
        <w:t xml:space="preserve"> </w:t>
      </w:r>
    </w:p>
    <w:p w:rsidR="00710405" w:rsidRDefault="00710405" w:rsidP="00710405">
      <w:pPr>
        <w:pStyle w:val="ListParagraph"/>
        <w:spacing w:before="0"/>
        <w:ind w:left="360"/>
      </w:pPr>
    </w:p>
    <w:p w:rsidR="00FE5042" w:rsidRDefault="00BC391A" w:rsidP="00FE5042">
      <w:pPr>
        <w:pStyle w:val="ListParagraph"/>
        <w:numPr>
          <w:ilvl w:val="0"/>
          <w:numId w:val="14"/>
        </w:numPr>
        <w:spacing w:before="0"/>
      </w:pPr>
      <w:r w:rsidRPr="00710405">
        <w:rPr>
          <w:b/>
          <w:bCs/>
          <w:i/>
          <w:iCs/>
        </w:rPr>
        <w:t xml:space="preserve">Climate change is </w:t>
      </w:r>
      <w:r w:rsidR="00FE5042">
        <w:rPr>
          <w:b/>
          <w:bCs/>
          <w:i/>
          <w:iCs/>
        </w:rPr>
        <w:t>a future challenge that requires everyone’s response</w:t>
      </w:r>
      <w:r>
        <w:t xml:space="preserve"> </w:t>
      </w:r>
    </w:p>
    <w:p w:rsidR="00A434E7" w:rsidRDefault="009B0158" w:rsidP="00490A41">
      <w:pPr>
        <w:spacing w:before="0"/>
        <w:ind w:left="360"/>
      </w:pPr>
      <w:r>
        <w:t xml:space="preserve">The Red Cross Red </w:t>
      </w:r>
      <w:r w:rsidRPr="00FE5042">
        <w:t xml:space="preserve">Crescent </w:t>
      </w:r>
      <w:r w:rsidR="00FE5042" w:rsidRPr="00FE5042">
        <w:t>recognizes</w:t>
      </w:r>
      <w:r w:rsidRPr="00FE5042">
        <w:t xml:space="preserve"> climate change</w:t>
      </w:r>
      <w:r w:rsidR="00FE5042">
        <w:t xml:space="preserve"> is one of many catalysts to disaster with  </w:t>
      </w:r>
      <w:r w:rsidR="00BC391A">
        <w:t xml:space="preserve">extreme weather events increasing in frequency and intensity. </w:t>
      </w:r>
      <w:r w:rsidR="00FE5042">
        <w:t>Over</w:t>
      </w:r>
      <w:r w:rsidR="00BC391A" w:rsidRPr="00BC391A">
        <w:t xml:space="preserve"> the past </w:t>
      </w:r>
      <w:r w:rsidR="00FE5042">
        <w:t xml:space="preserve">several </w:t>
      </w:r>
      <w:r w:rsidR="00BC391A" w:rsidRPr="00BC391A">
        <w:t>decades, there has been a sharp increa</w:t>
      </w:r>
      <w:r w:rsidR="00BC391A">
        <w:t>s</w:t>
      </w:r>
      <w:r w:rsidR="00782968">
        <w:t>e in weather-related disasters in the Asia-Pacific</w:t>
      </w:r>
      <w:r w:rsidR="00F7616A">
        <w:t>, impacting lives and livelihoods.</w:t>
      </w:r>
    </w:p>
    <w:p w:rsidR="00490A41" w:rsidRDefault="00490A41" w:rsidP="00FE5042">
      <w:pPr>
        <w:spacing w:before="0"/>
        <w:ind w:left="360"/>
      </w:pPr>
    </w:p>
    <w:p w:rsidR="003A1542" w:rsidRDefault="00490A41" w:rsidP="003A1542">
      <w:pPr>
        <w:ind w:left="360" w:hanging="360"/>
        <w:rPr>
          <w:b/>
          <w:bCs/>
          <w:i/>
          <w:iCs/>
        </w:rPr>
      </w:pPr>
      <w:r w:rsidRPr="003A1542">
        <w:rPr>
          <w:b/>
          <w:bCs/>
          <w:i/>
          <w:iCs/>
        </w:rPr>
        <w:t>7. Strong laws create safer communities and promote local level action</w:t>
      </w:r>
    </w:p>
    <w:p w:rsidR="003A1542" w:rsidRDefault="003A1542" w:rsidP="003A1542">
      <w:pPr>
        <w:ind w:left="360"/>
        <w:rPr>
          <w:rFonts w:cstheme="minorHAnsi"/>
        </w:rPr>
      </w:pPr>
      <w:r w:rsidRPr="003A1542">
        <w:rPr>
          <w:rFonts w:cstheme="minorHAnsi"/>
        </w:rPr>
        <w:t>Laws and policies around issues such as land use planning, building codes, and facilitation of humanitarian relief are critical – especially in disaster-prone regions such as Southeast Asia.  It is these laws that help countries reduce disaster risks, and respond when they occur. Recognition of the important role that laws can play is growing around the world. Here in Southeast Asia, momentum is building as governments develop and review their disaster risk management laws. Red Cross and Red Crescent National Societies and the International Federation are supporting these efforts, with the understanding that strengthening national laws and policies, and utilizing traditional and local knowledge, is an important step towards resilience.</w:t>
      </w:r>
    </w:p>
    <w:p w:rsidR="00A434E7" w:rsidRPr="006C3345" w:rsidRDefault="00A434E7" w:rsidP="003A1542">
      <w:pPr>
        <w:spacing w:before="0"/>
        <w:ind w:left="1080"/>
      </w:pPr>
    </w:p>
    <w:sectPr w:rsidR="00A434E7" w:rsidRPr="006C3345" w:rsidSect="00782968">
      <w:headerReference w:type="default" r:id="rId10"/>
      <w:footerReference w:type="default" r:id="rId11"/>
      <w:footerReference w:type="first" r:id="rId12"/>
      <w:pgSz w:w="11900" w:h="16840"/>
      <w:pgMar w:top="567" w:right="1134" w:bottom="153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2D" w:rsidRDefault="00E1762D">
      <w:r>
        <w:separator/>
      </w:r>
    </w:p>
    <w:p w:rsidR="00E1762D" w:rsidRDefault="00E1762D"/>
    <w:p w:rsidR="00E1762D" w:rsidRDefault="00E1762D"/>
  </w:endnote>
  <w:endnote w:type="continuationSeparator" w:id="0">
    <w:p w:rsidR="00E1762D" w:rsidRDefault="00E1762D">
      <w:r>
        <w:continuationSeparator/>
      </w:r>
    </w:p>
    <w:p w:rsidR="00E1762D" w:rsidRDefault="00E1762D"/>
    <w:p w:rsidR="00E1762D" w:rsidRDefault="00E1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2D" w:rsidRDefault="00E1762D">
      <w:r>
        <w:separator/>
      </w:r>
    </w:p>
    <w:p w:rsidR="00E1762D" w:rsidRDefault="00E1762D"/>
    <w:p w:rsidR="00E1762D" w:rsidRDefault="00E1762D"/>
  </w:footnote>
  <w:footnote w:type="continuationSeparator" w:id="0">
    <w:p w:rsidR="00E1762D" w:rsidRDefault="00E1762D">
      <w:r>
        <w:continuationSeparator/>
      </w:r>
    </w:p>
    <w:p w:rsidR="00E1762D" w:rsidRDefault="00E1762D"/>
    <w:p w:rsidR="00E1762D" w:rsidRDefault="00E1762D"/>
  </w:footnote>
  <w:footnote w:id="1">
    <w:p w:rsidR="00407FAC" w:rsidRPr="00F82AFC" w:rsidRDefault="00407FAC" w:rsidP="00407FAC">
      <w:pPr>
        <w:pStyle w:val="FootnoteText"/>
        <w:rPr>
          <w:sz w:val="18"/>
          <w:szCs w:val="18"/>
        </w:rPr>
      </w:pPr>
      <w:r w:rsidRPr="00F82AFC">
        <w:rPr>
          <w:rStyle w:val="FootnoteReference"/>
          <w:sz w:val="18"/>
          <w:szCs w:val="18"/>
        </w:rPr>
        <w:footnoteRef/>
      </w:r>
      <w:r w:rsidRPr="00F82AFC">
        <w:rPr>
          <w:sz w:val="18"/>
          <w:szCs w:val="18"/>
        </w:rPr>
        <w:t xml:space="preserve"> DRR Mapping Results, 2013, IFRC</w:t>
      </w:r>
    </w:p>
  </w:footnote>
  <w:footnote w:id="2">
    <w:p w:rsidR="00F82AFC" w:rsidRDefault="00F82AFC">
      <w:pPr>
        <w:pStyle w:val="FootnoteText"/>
      </w:pPr>
      <w:r w:rsidRPr="00F82AFC">
        <w:rPr>
          <w:rStyle w:val="FootnoteReference"/>
          <w:sz w:val="18"/>
          <w:szCs w:val="18"/>
        </w:rPr>
        <w:footnoteRef/>
      </w:r>
      <w:r w:rsidRPr="00F82AFC">
        <w:rPr>
          <w:sz w:val="18"/>
          <w:szCs w:val="18"/>
        </w:rPr>
        <w:t xml:space="preserve"> World Disasters Report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73" w:rsidRPr="00D96F73" w:rsidRDefault="00F94139" w:rsidP="00D96F73">
    <w:pPr>
      <w:pStyle w:val="Projectsubtitle"/>
      <w:rPr>
        <w:rFonts w:ascii="Arial" w:hAnsi="Arial" w:cs="Arial"/>
        <w:color w:val="595959"/>
        <w:sz w:val="16"/>
        <w:szCs w:val="16"/>
      </w:rPr>
    </w:pPr>
    <w:r w:rsidRPr="00895C69">
      <w:rPr>
        <w:rFonts w:ascii="Arial" w:hAnsi="Arial" w:cs="Caecilia-Light"/>
        <w:color w:val="FF0000"/>
        <w:sz w:val="16"/>
        <w:szCs w:val="14"/>
      </w:rPr>
      <w:t>International Federation of Red Cross and Red Crescent Societies</w:t>
    </w:r>
    <w:r w:rsidRPr="00895C69">
      <w:rPr>
        <w:rFonts w:ascii="Arial" w:hAnsi="Arial" w:cs="Caecilia-Light"/>
        <w:color w:val="FF0000"/>
        <w:sz w:val="16"/>
        <w:szCs w:val="14"/>
      </w:rPr>
      <w:br/>
    </w:r>
    <w:r w:rsidR="00C95A9A"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C95A9A" w:rsidRPr="00895C69">
      <w:rPr>
        <w:rStyle w:val="PageNumber"/>
        <w:rFonts w:ascii="Arial" w:hAnsi="Arial" w:cs="Arial"/>
        <w:b/>
        <w:bCs/>
        <w:sz w:val="16"/>
        <w:szCs w:val="16"/>
      </w:rPr>
      <w:fldChar w:fldCharType="separate"/>
    </w:r>
    <w:r w:rsidR="002421D6">
      <w:rPr>
        <w:rStyle w:val="PageNumber"/>
        <w:rFonts w:ascii="Arial" w:hAnsi="Arial" w:cs="Arial"/>
        <w:b/>
        <w:bCs/>
        <w:noProof/>
        <w:sz w:val="16"/>
        <w:szCs w:val="16"/>
      </w:rPr>
      <w:t>2</w:t>
    </w:r>
    <w:r w:rsidR="00C95A9A"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D96F73" w:rsidRPr="00D96F73">
      <w:rPr>
        <w:rStyle w:val="Hyperlink"/>
        <w:rFonts w:ascii="Arial" w:hAnsi="Arial" w:cs="Arial"/>
        <w:b/>
        <w:bCs/>
        <w:color w:val="auto"/>
        <w:sz w:val="16"/>
        <w:szCs w:val="16"/>
        <w:u w:val="none"/>
      </w:rPr>
      <w:t>I</w:t>
    </w:r>
    <w:r w:rsidR="00D96F73" w:rsidRPr="00D96F73">
      <w:rPr>
        <w:rStyle w:val="Hyperlink"/>
        <w:rFonts w:ascii="Arial" w:hAnsi="Arial" w:cs="Arial"/>
        <w:color w:val="auto"/>
        <w:sz w:val="16"/>
        <w:szCs w:val="16"/>
        <w:u w:val="none"/>
      </w:rPr>
      <w:t xml:space="preserve">nternational Day for Disaster Reduction / ASEAN Day for Disaster Management 2015 / </w:t>
    </w:r>
    <w:r w:rsidR="00D96F73" w:rsidRPr="00D96F73">
      <w:rPr>
        <w:rStyle w:val="Hyperlink"/>
        <w:rFonts w:ascii="Arial" w:hAnsi="Arial" w:cs="Arial"/>
        <w:color w:val="FF0000"/>
        <w:sz w:val="16"/>
        <w:szCs w:val="16"/>
        <w:u w:val="none"/>
      </w:rPr>
      <w:t xml:space="preserve">Southeast Asia </w:t>
    </w:r>
    <w:r w:rsidR="00D96F73" w:rsidRPr="00D96F73">
      <w:rPr>
        <w:rFonts w:ascii="Arial" w:hAnsi="Arial" w:cs="Arial"/>
        <w:color w:val="595959"/>
        <w:sz w:val="16"/>
        <w:szCs w:val="16"/>
      </w:rPr>
      <w:t>/ 13 October 2015</w:t>
    </w:r>
  </w:p>
  <w:p w:rsidR="00E91D9D" w:rsidRDefault="00E176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8368524"/>
    <w:name w:val="WW8Num6"/>
    <w:lvl w:ilvl="0">
      <w:start w:val="1"/>
      <w:numFmt w:val="bullet"/>
      <w:lvlText w:val=""/>
      <w:lvlJc w:val="left"/>
      <w:pPr>
        <w:tabs>
          <w:tab w:val="num" w:pos="0"/>
        </w:tabs>
        <w:ind w:left="360" w:hanging="360"/>
      </w:pPr>
      <w:rPr>
        <w:rFonts w:ascii="Wingdings" w:hAnsi="Wingdings" w:hint="default"/>
        <w:color w:val="FF0000"/>
        <w:sz w:val="24"/>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CF541D6"/>
    <w:multiLevelType w:val="hybridMultilevel"/>
    <w:tmpl w:val="0D8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54167"/>
    <w:multiLevelType w:val="hybridMultilevel"/>
    <w:tmpl w:val="8292B350"/>
    <w:lvl w:ilvl="0" w:tplc="13E81B74">
      <w:numFmt w:val="bullet"/>
      <w:lvlText w:val="-"/>
      <w:lvlJc w:val="left"/>
      <w:pPr>
        <w:ind w:left="1440" w:hanging="360"/>
      </w:pPr>
      <w:rPr>
        <w:rFonts w:ascii="Arial" w:eastAsia="Cambr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AB3D6E"/>
    <w:multiLevelType w:val="hybridMultilevel"/>
    <w:tmpl w:val="2CC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D1651"/>
    <w:multiLevelType w:val="hybridMultilevel"/>
    <w:tmpl w:val="0F84B002"/>
    <w:lvl w:ilvl="0" w:tplc="A89012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62F77"/>
    <w:multiLevelType w:val="multilevel"/>
    <w:tmpl w:val="5BE61CEE"/>
    <w:styleLink w:val="List11"/>
    <w:lvl w:ilvl="0">
      <w:numFmt w:val="bullet"/>
      <w:lvlText w:val="•"/>
      <w:lvlJc w:val="left"/>
      <w:pPr>
        <w:tabs>
          <w:tab w:val="num" w:pos="1080"/>
        </w:tabs>
        <w:ind w:left="1080" w:hanging="360"/>
      </w:pPr>
      <w:rPr>
        <w:rFonts w:ascii="Trebuchet MS" w:eastAsia="Trebuchet MS" w:hAnsi="Trebuchet MS" w:cs="Trebuchet MS"/>
        <w:i w:val="0"/>
        <w:iCs w:val="0"/>
        <w:position w:val="0"/>
        <w:sz w:val="24"/>
        <w:szCs w:val="24"/>
        <w:lang w:val="en-US"/>
      </w:rPr>
    </w:lvl>
    <w:lvl w:ilvl="1">
      <w:start w:val="1"/>
      <w:numFmt w:val="bullet"/>
      <w:lvlText w:val="o"/>
      <w:lvlJc w:val="left"/>
      <w:pPr>
        <w:tabs>
          <w:tab w:val="num" w:pos="1743"/>
        </w:tabs>
        <w:ind w:left="1743" w:hanging="303"/>
      </w:pPr>
      <w:rPr>
        <w:rFonts w:ascii="Calibri" w:eastAsia="Calibri" w:hAnsi="Calibri" w:cs="Calibri"/>
        <w:i w:val="0"/>
        <w:iCs w:val="0"/>
        <w:position w:val="0"/>
        <w:sz w:val="22"/>
        <w:szCs w:val="22"/>
        <w:lang w:val="en-US"/>
      </w:rPr>
    </w:lvl>
    <w:lvl w:ilvl="2">
      <w:start w:val="1"/>
      <w:numFmt w:val="bullet"/>
      <w:lvlText w:val="▪"/>
      <w:lvlJc w:val="left"/>
      <w:pPr>
        <w:tabs>
          <w:tab w:val="num" w:pos="2463"/>
        </w:tabs>
        <w:ind w:left="2463" w:hanging="303"/>
      </w:pPr>
      <w:rPr>
        <w:rFonts w:ascii="Calibri" w:eastAsia="Calibri" w:hAnsi="Calibri" w:cs="Calibri"/>
        <w:i w:val="0"/>
        <w:iCs w:val="0"/>
        <w:position w:val="0"/>
        <w:sz w:val="22"/>
        <w:szCs w:val="22"/>
        <w:lang w:val="en-US"/>
      </w:rPr>
    </w:lvl>
    <w:lvl w:ilvl="3">
      <w:start w:val="1"/>
      <w:numFmt w:val="bullet"/>
      <w:lvlText w:val="•"/>
      <w:lvlJc w:val="left"/>
      <w:pPr>
        <w:tabs>
          <w:tab w:val="num" w:pos="3183"/>
        </w:tabs>
        <w:ind w:left="3183" w:hanging="303"/>
      </w:pPr>
      <w:rPr>
        <w:rFonts w:ascii="Calibri" w:eastAsia="Calibri" w:hAnsi="Calibri" w:cs="Calibri"/>
        <w:i w:val="0"/>
        <w:iCs w:val="0"/>
        <w:position w:val="0"/>
        <w:sz w:val="22"/>
        <w:szCs w:val="22"/>
        <w:lang w:val="en-US"/>
      </w:rPr>
    </w:lvl>
    <w:lvl w:ilvl="4">
      <w:start w:val="1"/>
      <w:numFmt w:val="bullet"/>
      <w:lvlText w:val="o"/>
      <w:lvlJc w:val="left"/>
      <w:pPr>
        <w:tabs>
          <w:tab w:val="num" w:pos="3903"/>
        </w:tabs>
        <w:ind w:left="3903" w:hanging="303"/>
      </w:pPr>
      <w:rPr>
        <w:rFonts w:ascii="Calibri" w:eastAsia="Calibri" w:hAnsi="Calibri" w:cs="Calibri"/>
        <w:i w:val="0"/>
        <w:iCs w:val="0"/>
        <w:position w:val="0"/>
        <w:sz w:val="22"/>
        <w:szCs w:val="22"/>
        <w:lang w:val="en-US"/>
      </w:rPr>
    </w:lvl>
    <w:lvl w:ilvl="5">
      <w:start w:val="1"/>
      <w:numFmt w:val="bullet"/>
      <w:lvlText w:val="▪"/>
      <w:lvlJc w:val="left"/>
      <w:pPr>
        <w:tabs>
          <w:tab w:val="num" w:pos="4623"/>
        </w:tabs>
        <w:ind w:left="4623" w:hanging="303"/>
      </w:pPr>
      <w:rPr>
        <w:rFonts w:ascii="Calibri" w:eastAsia="Calibri" w:hAnsi="Calibri" w:cs="Calibri"/>
        <w:i w:val="0"/>
        <w:iCs w:val="0"/>
        <w:position w:val="0"/>
        <w:sz w:val="22"/>
        <w:szCs w:val="22"/>
        <w:lang w:val="en-US"/>
      </w:rPr>
    </w:lvl>
    <w:lvl w:ilvl="6">
      <w:start w:val="1"/>
      <w:numFmt w:val="bullet"/>
      <w:lvlText w:val="•"/>
      <w:lvlJc w:val="left"/>
      <w:pPr>
        <w:tabs>
          <w:tab w:val="num" w:pos="5343"/>
        </w:tabs>
        <w:ind w:left="5343" w:hanging="303"/>
      </w:pPr>
      <w:rPr>
        <w:rFonts w:ascii="Calibri" w:eastAsia="Calibri" w:hAnsi="Calibri" w:cs="Calibri"/>
        <w:i w:val="0"/>
        <w:iCs w:val="0"/>
        <w:position w:val="0"/>
        <w:sz w:val="22"/>
        <w:szCs w:val="22"/>
        <w:lang w:val="en-US"/>
      </w:rPr>
    </w:lvl>
    <w:lvl w:ilvl="7">
      <w:start w:val="1"/>
      <w:numFmt w:val="bullet"/>
      <w:lvlText w:val="o"/>
      <w:lvlJc w:val="left"/>
      <w:pPr>
        <w:tabs>
          <w:tab w:val="num" w:pos="6063"/>
        </w:tabs>
        <w:ind w:left="6063" w:hanging="303"/>
      </w:pPr>
      <w:rPr>
        <w:rFonts w:ascii="Calibri" w:eastAsia="Calibri" w:hAnsi="Calibri" w:cs="Calibri"/>
        <w:i w:val="0"/>
        <w:iCs w:val="0"/>
        <w:position w:val="0"/>
        <w:sz w:val="22"/>
        <w:szCs w:val="22"/>
        <w:lang w:val="en-US"/>
      </w:rPr>
    </w:lvl>
    <w:lvl w:ilvl="8">
      <w:start w:val="1"/>
      <w:numFmt w:val="bullet"/>
      <w:lvlText w:val="▪"/>
      <w:lvlJc w:val="left"/>
      <w:pPr>
        <w:tabs>
          <w:tab w:val="num" w:pos="6783"/>
        </w:tabs>
        <w:ind w:left="6783" w:hanging="303"/>
      </w:pPr>
      <w:rPr>
        <w:rFonts w:ascii="Calibri" w:eastAsia="Calibri" w:hAnsi="Calibri" w:cs="Calibri"/>
        <w:i w:val="0"/>
        <w:iCs w:val="0"/>
        <w:position w:val="0"/>
        <w:sz w:val="22"/>
        <w:szCs w:val="22"/>
        <w:lang w:val="en-US"/>
      </w:rPr>
    </w:lvl>
  </w:abstractNum>
  <w:abstractNum w:abstractNumId="6">
    <w:nsid w:val="1D95108C"/>
    <w:multiLevelType w:val="hybridMultilevel"/>
    <w:tmpl w:val="E7BE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94B1C"/>
    <w:multiLevelType w:val="hybridMultilevel"/>
    <w:tmpl w:val="8BC0BCF0"/>
    <w:lvl w:ilvl="0" w:tplc="13E81B74">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C41F1"/>
    <w:multiLevelType w:val="hybridMultilevel"/>
    <w:tmpl w:val="C050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A7C15"/>
    <w:multiLevelType w:val="hybridMultilevel"/>
    <w:tmpl w:val="51D0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322A1"/>
    <w:multiLevelType w:val="multilevel"/>
    <w:tmpl w:val="422AC270"/>
    <w:styleLink w:val="List0"/>
    <w:lvl w:ilvl="0">
      <w:numFmt w:val="bullet"/>
      <w:lvlText w:val="•"/>
      <w:lvlJc w:val="left"/>
      <w:pPr>
        <w:tabs>
          <w:tab w:val="num" w:pos="720"/>
        </w:tabs>
        <w:ind w:left="720" w:hanging="360"/>
      </w:pPr>
      <w:rPr>
        <w:rFonts w:ascii="Trebuchet MS" w:eastAsia="Trebuchet MS" w:hAnsi="Trebuchet MS" w:cs="Trebuchet MS"/>
        <w:i w:val="0"/>
        <w:iCs w:val="0"/>
        <w:position w:val="0"/>
        <w:sz w:val="24"/>
        <w:szCs w:val="24"/>
        <w:lang w:val="en-US"/>
      </w:rPr>
    </w:lvl>
    <w:lvl w:ilvl="1">
      <w:start w:val="1"/>
      <w:numFmt w:val="bullet"/>
      <w:lvlText w:val="o"/>
      <w:lvlJc w:val="left"/>
      <w:pPr>
        <w:tabs>
          <w:tab w:val="num" w:pos="1383"/>
        </w:tabs>
        <w:ind w:left="1383" w:hanging="303"/>
      </w:pPr>
      <w:rPr>
        <w:rFonts w:ascii="Calibri" w:eastAsia="Calibri" w:hAnsi="Calibri" w:cs="Calibri"/>
        <w:i w:val="0"/>
        <w:iCs w:val="0"/>
        <w:position w:val="0"/>
        <w:sz w:val="22"/>
        <w:szCs w:val="22"/>
        <w:lang w:val="en-US"/>
      </w:rPr>
    </w:lvl>
    <w:lvl w:ilvl="2">
      <w:start w:val="1"/>
      <w:numFmt w:val="bullet"/>
      <w:lvlText w:val="▪"/>
      <w:lvlJc w:val="left"/>
      <w:pPr>
        <w:tabs>
          <w:tab w:val="num" w:pos="2103"/>
        </w:tabs>
        <w:ind w:left="2103" w:hanging="303"/>
      </w:pPr>
      <w:rPr>
        <w:rFonts w:ascii="Calibri" w:eastAsia="Calibri" w:hAnsi="Calibri" w:cs="Calibri"/>
        <w:i w:val="0"/>
        <w:iCs w:val="0"/>
        <w:position w:val="0"/>
        <w:sz w:val="22"/>
        <w:szCs w:val="22"/>
        <w:lang w:val="en-US"/>
      </w:rPr>
    </w:lvl>
    <w:lvl w:ilvl="3">
      <w:start w:val="1"/>
      <w:numFmt w:val="bullet"/>
      <w:lvlText w:val="•"/>
      <w:lvlJc w:val="left"/>
      <w:pPr>
        <w:tabs>
          <w:tab w:val="num" w:pos="2823"/>
        </w:tabs>
        <w:ind w:left="2823" w:hanging="303"/>
      </w:pPr>
      <w:rPr>
        <w:rFonts w:ascii="Calibri" w:eastAsia="Calibri" w:hAnsi="Calibri" w:cs="Calibri"/>
        <w:i w:val="0"/>
        <w:iCs w:val="0"/>
        <w:position w:val="0"/>
        <w:sz w:val="22"/>
        <w:szCs w:val="22"/>
        <w:lang w:val="en-US"/>
      </w:rPr>
    </w:lvl>
    <w:lvl w:ilvl="4">
      <w:start w:val="1"/>
      <w:numFmt w:val="bullet"/>
      <w:lvlText w:val="o"/>
      <w:lvlJc w:val="left"/>
      <w:pPr>
        <w:tabs>
          <w:tab w:val="num" w:pos="3543"/>
        </w:tabs>
        <w:ind w:left="3543" w:hanging="303"/>
      </w:pPr>
      <w:rPr>
        <w:rFonts w:ascii="Calibri" w:eastAsia="Calibri" w:hAnsi="Calibri" w:cs="Calibri"/>
        <w:i w:val="0"/>
        <w:iCs w:val="0"/>
        <w:position w:val="0"/>
        <w:sz w:val="22"/>
        <w:szCs w:val="22"/>
        <w:lang w:val="en-US"/>
      </w:rPr>
    </w:lvl>
    <w:lvl w:ilvl="5">
      <w:start w:val="1"/>
      <w:numFmt w:val="bullet"/>
      <w:lvlText w:val="▪"/>
      <w:lvlJc w:val="left"/>
      <w:pPr>
        <w:tabs>
          <w:tab w:val="num" w:pos="4263"/>
        </w:tabs>
        <w:ind w:left="4263" w:hanging="303"/>
      </w:pPr>
      <w:rPr>
        <w:rFonts w:ascii="Calibri" w:eastAsia="Calibri" w:hAnsi="Calibri" w:cs="Calibri"/>
        <w:i w:val="0"/>
        <w:iCs w:val="0"/>
        <w:position w:val="0"/>
        <w:sz w:val="22"/>
        <w:szCs w:val="22"/>
        <w:lang w:val="en-US"/>
      </w:rPr>
    </w:lvl>
    <w:lvl w:ilvl="6">
      <w:start w:val="1"/>
      <w:numFmt w:val="bullet"/>
      <w:lvlText w:val="•"/>
      <w:lvlJc w:val="left"/>
      <w:pPr>
        <w:tabs>
          <w:tab w:val="num" w:pos="4983"/>
        </w:tabs>
        <w:ind w:left="4983" w:hanging="303"/>
      </w:pPr>
      <w:rPr>
        <w:rFonts w:ascii="Calibri" w:eastAsia="Calibri" w:hAnsi="Calibri" w:cs="Calibri"/>
        <w:i w:val="0"/>
        <w:iCs w:val="0"/>
        <w:position w:val="0"/>
        <w:sz w:val="22"/>
        <w:szCs w:val="22"/>
        <w:lang w:val="en-US"/>
      </w:rPr>
    </w:lvl>
    <w:lvl w:ilvl="7">
      <w:start w:val="1"/>
      <w:numFmt w:val="bullet"/>
      <w:lvlText w:val="o"/>
      <w:lvlJc w:val="left"/>
      <w:pPr>
        <w:tabs>
          <w:tab w:val="num" w:pos="5703"/>
        </w:tabs>
        <w:ind w:left="5703" w:hanging="303"/>
      </w:pPr>
      <w:rPr>
        <w:rFonts w:ascii="Calibri" w:eastAsia="Calibri" w:hAnsi="Calibri" w:cs="Calibri"/>
        <w:i w:val="0"/>
        <w:iCs w:val="0"/>
        <w:position w:val="0"/>
        <w:sz w:val="22"/>
        <w:szCs w:val="22"/>
        <w:lang w:val="en-US"/>
      </w:rPr>
    </w:lvl>
    <w:lvl w:ilvl="8">
      <w:start w:val="1"/>
      <w:numFmt w:val="bullet"/>
      <w:lvlText w:val="▪"/>
      <w:lvlJc w:val="left"/>
      <w:pPr>
        <w:tabs>
          <w:tab w:val="num" w:pos="6423"/>
        </w:tabs>
        <w:ind w:left="6423" w:hanging="303"/>
      </w:pPr>
      <w:rPr>
        <w:rFonts w:ascii="Calibri" w:eastAsia="Calibri" w:hAnsi="Calibri" w:cs="Calibri"/>
        <w:i w:val="0"/>
        <w:iCs w:val="0"/>
        <w:position w:val="0"/>
        <w:sz w:val="22"/>
        <w:szCs w:val="22"/>
        <w:lang w:val="en-US"/>
      </w:rPr>
    </w:lvl>
  </w:abstractNum>
  <w:abstractNum w:abstractNumId="12">
    <w:nsid w:val="51BE2FD7"/>
    <w:multiLevelType w:val="hybridMultilevel"/>
    <w:tmpl w:val="ED1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94E1C"/>
    <w:multiLevelType w:val="hybridMultilevel"/>
    <w:tmpl w:val="93B0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73A99"/>
    <w:multiLevelType w:val="hybridMultilevel"/>
    <w:tmpl w:val="793A30D2"/>
    <w:lvl w:ilvl="0" w:tplc="20304AD6">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F5345"/>
    <w:multiLevelType w:val="hybridMultilevel"/>
    <w:tmpl w:val="A09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902FC"/>
    <w:multiLevelType w:val="hybridMultilevel"/>
    <w:tmpl w:val="32A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B232E4"/>
    <w:multiLevelType w:val="hybridMultilevel"/>
    <w:tmpl w:val="8EF03014"/>
    <w:lvl w:ilvl="0" w:tplc="768AED1A">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1"/>
  </w:num>
  <w:num w:numId="5">
    <w:abstractNumId w:val="10"/>
  </w:num>
  <w:num w:numId="6">
    <w:abstractNumId w:val="2"/>
  </w:num>
  <w:num w:numId="7">
    <w:abstractNumId w:val="13"/>
  </w:num>
  <w:num w:numId="8">
    <w:abstractNumId w:val="17"/>
  </w:num>
  <w:num w:numId="9">
    <w:abstractNumId w:val="8"/>
  </w:num>
  <w:num w:numId="10">
    <w:abstractNumId w:val="16"/>
  </w:num>
  <w:num w:numId="11">
    <w:abstractNumId w:val="12"/>
  </w:num>
  <w:num w:numId="12">
    <w:abstractNumId w:val="3"/>
  </w:num>
  <w:num w:numId="13">
    <w:abstractNumId w:val="9"/>
  </w:num>
  <w:num w:numId="14">
    <w:abstractNumId w:val="18"/>
  </w:num>
  <w:num w:numId="15">
    <w:abstractNumId w:val="14"/>
  </w:num>
  <w:num w:numId="16">
    <w:abstractNumId w:val="4"/>
  </w:num>
  <w:num w:numId="17">
    <w:abstractNumId w:val="5"/>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70"/>
    <w:rsid w:val="000222EF"/>
    <w:rsid w:val="00032847"/>
    <w:rsid w:val="000335CF"/>
    <w:rsid w:val="000336D6"/>
    <w:rsid w:val="0004149E"/>
    <w:rsid w:val="0007112B"/>
    <w:rsid w:val="00074732"/>
    <w:rsid w:val="000749B4"/>
    <w:rsid w:val="00085933"/>
    <w:rsid w:val="000A57E2"/>
    <w:rsid w:val="000B0F39"/>
    <w:rsid w:val="000B6E3B"/>
    <w:rsid w:val="000C396F"/>
    <w:rsid w:val="000D3570"/>
    <w:rsid w:val="000D7D0D"/>
    <w:rsid w:val="000E4F5C"/>
    <w:rsid w:val="000F6F07"/>
    <w:rsid w:val="001027CC"/>
    <w:rsid w:val="00102F65"/>
    <w:rsid w:val="00102F99"/>
    <w:rsid w:val="00130330"/>
    <w:rsid w:val="00130A1D"/>
    <w:rsid w:val="001326F9"/>
    <w:rsid w:val="001452B6"/>
    <w:rsid w:val="00153BD8"/>
    <w:rsid w:val="00163203"/>
    <w:rsid w:val="00167A67"/>
    <w:rsid w:val="00186D8C"/>
    <w:rsid w:val="001A377D"/>
    <w:rsid w:val="001D0ABE"/>
    <w:rsid w:val="001F18D4"/>
    <w:rsid w:val="00211EFF"/>
    <w:rsid w:val="00227205"/>
    <w:rsid w:val="002421D6"/>
    <w:rsid w:val="002435D8"/>
    <w:rsid w:val="00245C37"/>
    <w:rsid w:val="002722F8"/>
    <w:rsid w:val="00285015"/>
    <w:rsid w:val="002942E3"/>
    <w:rsid w:val="002A058A"/>
    <w:rsid w:val="002C065F"/>
    <w:rsid w:val="002C73E3"/>
    <w:rsid w:val="002D7851"/>
    <w:rsid w:val="002F6FD9"/>
    <w:rsid w:val="0031434B"/>
    <w:rsid w:val="003256D3"/>
    <w:rsid w:val="00332B99"/>
    <w:rsid w:val="00351CFD"/>
    <w:rsid w:val="00363F6B"/>
    <w:rsid w:val="00371DEA"/>
    <w:rsid w:val="00375DA3"/>
    <w:rsid w:val="0038510F"/>
    <w:rsid w:val="003918F9"/>
    <w:rsid w:val="003A1542"/>
    <w:rsid w:val="003B225C"/>
    <w:rsid w:val="003B57E2"/>
    <w:rsid w:val="003D4815"/>
    <w:rsid w:val="00403071"/>
    <w:rsid w:val="00403FD3"/>
    <w:rsid w:val="00404773"/>
    <w:rsid w:val="00407FAC"/>
    <w:rsid w:val="00410AF6"/>
    <w:rsid w:val="00432C6B"/>
    <w:rsid w:val="00445D23"/>
    <w:rsid w:val="004465B7"/>
    <w:rsid w:val="004625DA"/>
    <w:rsid w:val="00484688"/>
    <w:rsid w:val="00490A41"/>
    <w:rsid w:val="004A450D"/>
    <w:rsid w:val="004C6AC0"/>
    <w:rsid w:val="004D24B4"/>
    <w:rsid w:val="004E47B0"/>
    <w:rsid w:val="004E5993"/>
    <w:rsid w:val="00504E82"/>
    <w:rsid w:val="005127B0"/>
    <w:rsid w:val="00526F5D"/>
    <w:rsid w:val="00531AED"/>
    <w:rsid w:val="00546652"/>
    <w:rsid w:val="00564372"/>
    <w:rsid w:val="00566BDC"/>
    <w:rsid w:val="005A73A9"/>
    <w:rsid w:val="005B6DC8"/>
    <w:rsid w:val="005B6F3A"/>
    <w:rsid w:val="005C5025"/>
    <w:rsid w:val="005E0E4E"/>
    <w:rsid w:val="00621955"/>
    <w:rsid w:val="0062645F"/>
    <w:rsid w:val="00650BAE"/>
    <w:rsid w:val="0065731F"/>
    <w:rsid w:val="00657793"/>
    <w:rsid w:val="006822DF"/>
    <w:rsid w:val="0069047B"/>
    <w:rsid w:val="006932B8"/>
    <w:rsid w:val="006961D9"/>
    <w:rsid w:val="006A03AF"/>
    <w:rsid w:val="006A1BA6"/>
    <w:rsid w:val="006A76E2"/>
    <w:rsid w:val="006B7908"/>
    <w:rsid w:val="006C3345"/>
    <w:rsid w:val="006C6A0D"/>
    <w:rsid w:val="006D6301"/>
    <w:rsid w:val="00710405"/>
    <w:rsid w:val="0073151D"/>
    <w:rsid w:val="00732C9C"/>
    <w:rsid w:val="00742881"/>
    <w:rsid w:val="00782968"/>
    <w:rsid w:val="00782F24"/>
    <w:rsid w:val="0079693B"/>
    <w:rsid w:val="007A4408"/>
    <w:rsid w:val="007B60F4"/>
    <w:rsid w:val="0080118D"/>
    <w:rsid w:val="008020AE"/>
    <w:rsid w:val="00806C58"/>
    <w:rsid w:val="00817812"/>
    <w:rsid w:val="00831D0A"/>
    <w:rsid w:val="00856D69"/>
    <w:rsid w:val="00863513"/>
    <w:rsid w:val="008761EC"/>
    <w:rsid w:val="00895245"/>
    <w:rsid w:val="0089580C"/>
    <w:rsid w:val="008A7483"/>
    <w:rsid w:val="008B0EAC"/>
    <w:rsid w:val="008D2816"/>
    <w:rsid w:val="008F095A"/>
    <w:rsid w:val="008F6BA6"/>
    <w:rsid w:val="00907D39"/>
    <w:rsid w:val="009166EA"/>
    <w:rsid w:val="009374BD"/>
    <w:rsid w:val="00963AD8"/>
    <w:rsid w:val="009943FB"/>
    <w:rsid w:val="009A1494"/>
    <w:rsid w:val="009B0158"/>
    <w:rsid w:val="009B3742"/>
    <w:rsid w:val="009C131F"/>
    <w:rsid w:val="009C23C3"/>
    <w:rsid w:val="009D04C0"/>
    <w:rsid w:val="009D553F"/>
    <w:rsid w:val="009E1758"/>
    <w:rsid w:val="009F0524"/>
    <w:rsid w:val="00A264C7"/>
    <w:rsid w:val="00A2731F"/>
    <w:rsid w:val="00A315AA"/>
    <w:rsid w:val="00A32D2F"/>
    <w:rsid w:val="00A34511"/>
    <w:rsid w:val="00A434E7"/>
    <w:rsid w:val="00A55F6C"/>
    <w:rsid w:val="00A60CBB"/>
    <w:rsid w:val="00A70300"/>
    <w:rsid w:val="00A82E98"/>
    <w:rsid w:val="00A83C6F"/>
    <w:rsid w:val="00AA7044"/>
    <w:rsid w:val="00AB04A9"/>
    <w:rsid w:val="00AC0475"/>
    <w:rsid w:val="00AC2212"/>
    <w:rsid w:val="00AC5797"/>
    <w:rsid w:val="00AC591E"/>
    <w:rsid w:val="00AF2877"/>
    <w:rsid w:val="00AF7202"/>
    <w:rsid w:val="00B03C25"/>
    <w:rsid w:val="00B114E9"/>
    <w:rsid w:val="00B46507"/>
    <w:rsid w:val="00B51CC1"/>
    <w:rsid w:val="00B52164"/>
    <w:rsid w:val="00B609E3"/>
    <w:rsid w:val="00B66B03"/>
    <w:rsid w:val="00B87193"/>
    <w:rsid w:val="00B91566"/>
    <w:rsid w:val="00B965C1"/>
    <w:rsid w:val="00B9726C"/>
    <w:rsid w:val="00BC3799"/>
    <w:rsid w:val="00BC391A"/>
    <w:rsid w:val="00BD4793"/>
    <w:rsid w:val="00BE48A7"/>
    <w:rsid w:val="00BF1CD8"/>
    <w:rsid w:val="00C01059"/>
    <w:rsid w:val="00C85CF2"/>
    <w:rsid w:val="00C94640"/>
    <w:rsid w:val="00C95A9A"/>
    <w:rsid w:val="00C9742D"/>
    <w:rsid w:val="00CA5A2E"/>
    <w:rsid w:val="00CC3A3F"/>
    <w:rsid w:val="00CF6212"/>
    <w:rsid w:val="00D53ABC"/>
    <w:rsid w:val="00D61A71"/>
    <w:rsid w:val="00D62EC1"/>
    <w:rsid w:val="00D665AC"/>
    <w:rsid w:val="00D84D8E"/>
    <w:rsid w:val="00D96F73"/>
    <w:rsid w:val="00DA0A67"/>
    <w:rsid w:val="00DB5635"/>
    <w:rsid w:val="00DD1BBB"/>
    <w:rsid w:val="00DE69FF"/>
    <w:rsid w:val="00E02D2F"/>
    <w:rsid w:val="00E1259F"/>
    <w:rsid w:val="00E1762D"/>
    <w:rsid w:val="00E43F89"/>
    <w:rsid w:val="00E46103"/>
    <w:rsid w:val="00E6039E"/>
    <w:rsid w:val="00E61AD2"/>
    <w:rsid w:val="00E62F39"/>
    <w:rsid w:val="00E64AE2"/>
    <w:rsid w:val="00E67A55"/>
    <w:rsid w:val="00E80022"/>
    <w:rsid w:val="00E820C5"/>
    <w:rsid w:val="00EA4D2A"/>
    <w:rsid w:val="00EB0056"/>
    <w:rsid w:val="00EC172B"/>
    <w:rsid w:val="00ED1E90"/>
    <w:rsid w:val="00EE3356"/>
    <w:rsid w:val="00F320BA"/>
    <w:rsid w:val="00F46DC9"/>
    <w:rsid w:val="00F52EE2"/>
    <w:rsid w:val="00F61FAC"/>
    <w:rsid w:val="00F714C8"/>
    <w:rsid w:val="00F73BA0"/>
    <w:rsid w:val="00F7616A"/>
    <w:rsid w:val="00F82AFC"/>
    <w:rsid w:val="00F8300D"/>
    <w:rsid w:val="00F91601"/>
    <w:rsid w:val="00F94139"/>
    <w:rsid w:val="00FB28EB"/>
    <w:rsid w:val="00FB2EA7"/>
    <w:rsid w:val="00FC010E"/>
    <w:rsid w:val="00FE0EBD"/>
    <w:rsid w:val="00FE5042"/>
    <w:rsid w:val="00FF7DC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table" w:styleId="TableGrid">
    <w:name w:val="Table Grid"/>
    <w:basedOn w:val="TableNormal"/>
    <w:rsid w:val="009B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12B"/>
    <w:pPr>
      <w:spacing w:before="100" w:beforeAutospacing="1" w:after="100" w:afterAutospacing="1"/>
    </w:pPr>
    <w:rPr>
      <w:rFonts w:ascii="Times New Roman" w:eastAsia="Times New Roman" w:hAnsi="Times New Roman"/>
      <w:sz w:val="24"/>
    </w:rPr>
  </w:style>
  <w:style w:type="paragraph" w:styleId="FootnoteText">
    <w:name w:val="footnote text"/>
    <w:basedOn w:val="Normal"/>
    <w:link w:val="FootnoteTextChar"/>
    <w:rsid w:val="00FB28EB"/>
    <w:pPr>
      <w:spacing w:before="0"/>
    </w:pPr>
    <w:rPr>
      <w:sz w:val="20"/>
      <w:szCs w:val="20"/>
    </w:rPr>
  </w:style>
  <w:style w:type="character" w:customStyle="1" w:styleId="FootnoteTextChar">
    <w:name w:val="Footnote Text Char"/>
    <w:basedOn w:val="DefaultParagraphFont"/>
    <w:link w:val="FootnoteText"/>
    <w:rsid w:val="00FB28EB"/>
    <w:rPr>
      <w:rFonts w:ascii="Arial" w:hAnsi="Arial"/>
    </w:rPr>
  </w:style>
  <w:style w:type="numbering" w:customStyle="1" w:styleId="List11">
    <w:name w:val="List 11"/>
    <w:basedOn w:val="NoList"/>
    <w:rsid w:val="00403FD3"/>
    <w:pPr>
      <w:numPr>
        <w:numId w:val="17"/>
      </w:numPr>
    </w:pPr>
  </w:style>
  <w:style w:type="numbering" w:customStyle="1" w:styleId="List0">
    <w:name w:val="List 0"/>
    <w:basedOn w:val="NoList"/>
    <w:rsid w:val="00403FD3"/>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eb)" w:uiPriority="99"/>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table" w:styleId="TableGrid">
    <w:name w:val="Table Grid"/>
    <w:basedOn w:val="TableNormal"/>
    <w:rsid w:val="009B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12B"/>
    <w:pPr>
      <w:spacing w:before="100" w:beforeAutospacing="1" w:after="100" w:afterAutospacing="1"/>
    </w:pPr>
    <w:rPr>
      <w:rFonts w:ascii="Times New Roman" w:eastAsia="Times New Roman" w:hAnsi="Times New Roman"/>
      <w:sz w:val="24"/>
    </w:rPr>
  </w:style>
  <w:style w:type="paragraph" w:styleId="FootnoteText">
    <w:name w:val="footnote text"/>
    <w:basedOn w:val="Normal"/>
    <w:link w:val="FootnoteTextChar"/>
    <w:rsid w:val="00FB28EB"/>
    <w:pPr>
      <w:spacing w:before="0"/>
    </w:pPr>
    <w:rPr>
      <w:sz w:val="20"/>
      <w:szCs w:val="20"/>
    </w:rPr>
  </w:style>
  <w:style w:type="character" w:customStyle="1" w:styleId="FootnoteTextChar">
    <w:name w:val="Footnote Text Char"/>
    <w:basedOn w:val="DefaultParagraphFont"/>
    <w:link w:val="FootnoteText"/>
    <w:rsid w:val="00FB28EB"/>
    <w:rPr>
      <w:rFonts w:ascii="Arial" w:hAnsi="Arial"/>
    </w:rPr>
  </w:style>
  <w:style w:type="numbering" w:customStyle="1" w:styleId="List11">
    <w:name w:val="List 11"/>
    <w:basedOn w:val="NoList"/>
    <w:rsid w:val="00403FD3"/>
    <w:pPr>
      <w:numPr>
        <w:numId w:val="17"/>
      </w:numPr>
    </w:pPr>
  </w:style>
  <w:style w:type="numbering" w:customStyle="1" w:styleId="List0">
    <w:name w:val="List 0"/>
    <w:basedOn w:val="NoList"/>
    <w:rsid w:val="00403FD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78">
      <w:bodyDiv w:val="1"/>
      <w:marLeft w:val="0"/>
      <w:marRight w:val="0"/>
      <w:marTop w:val="0"/>
      <w:marBottom w:val="0"/>
      <w:divBdr>
        <w:top w:val="none" w:sz="0" w:space="0" w:color="auto"/>
        <w:left w:val="none" w:sz="0" w:space="0" w:color="auto"/>
        <w:bottom w:val="none" w:sz="0" w:space="0" w:color="auto"/>
        <w:right w:val="none" w:sz="0" w:space="0" w:color="auto"/>
      </w:divBdr>
    </w:div>
    <w:div w:id="119492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c.org/one-billion-coali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ejean.smith\Dropbox\IFRC\Guidelines%20&amp;%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809B-1DAD-4C57-8518-320E41A5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0</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KateJean Smith</dc:creator>
  <cp:lastModifiedBy>Angeline Tandiono</cp:lastModifiedBy>
  <cp:revision>2</cp:revision>
  <cp:lastPrinted>2014-10-02T08:00:00Z</cp:lastPrinted>
  <dcterms:created xsi:type="dcterms:W3CDTF">2015-10-01T10:13:00Z</dcterms:created>
  <dcterms:modified xsi:type="dcterms:W3CDTF">2015-10-01T10:13:00Z</dcterms:modified>
</cp:coreProperties>
</file>