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E5" w:rsidRPr="003A6CA9" w:rsidRDefault="00F94139" w:rsidP="005F74E5">
      <w:pPr>
        <w:rPr>
          <w:color w:val="FF0000"/>
        </w:rPr>
      </w:pPr>
      <w:bookmarkStart w:id="0" w:name="_GoBack"/>
      <w:bookmarkEnd w:id="0"/>
      <w:r w:rsidRPr="003A6CA9">
        <w:rPr>
          <w:color w:val="FF0000"/>
        </w:rPr>
        <w:t xml:space="preserve">International Federation of Red Cross and Red Crescent Societies </w:t>
      </w:r>
    </w:p>
    <w:p w:rsidR="005F74E5" w:rsidRDefault="009D2BE0" w:rsidP="005F74E5">
      <w:pPr>
        <w:pStyle w:val="Projectsubtitle"/>
        <w:rPr>
          <w:rStyle w:val="Hyperlink"/>
          <w:rFonts w:ascii="Arial" w:hAnsi="Arial"/>
        </w:rPr>
      </w:pPr>
      <w:r>
        <w:rPr>
          <w:rFonts w:ascii="Arial Bold" w:hAnsi="Arial Bold"/>
          <w:sz w:val="52"/>
        </w:rPr>
        <w:t>FACTS AND FIGURES</w:t>
      </w:r>
    </w:p>
    <w:p w:rsidR="00A54E8F" w:rsidRPr="008A7483" w:rsidRDefault="00A54E8F" w:rsidP="00A54E8F">
      <w:pPr>
        <w:pStyle w:val="Projectsubtitle"/>
        <w:rPr>
          <w:rFonts w:ascii="Arial" w:hAnsi="Arial" w:cs="Arial"/>
          <w:b/>
          <w:bCs/>
          <w:color w:val="595959"/>
        </w:rPr>
      </w:pPr>
      <w:r>
        <w:rPr>
          <w:rStyle w:val="Hyperlink"/>
          <w:rFonts w:ascii="Arial" w:hAnsi="Arial" w:cs="Arial"/>
          <w:b/>
          <w:bCs/>
          <w:color w:val="auto"/>
          <w:u w:val="none"/>
        </w:rPr>
        <w:t>International Day for Disaster Risk / ASEAN Day for Disaster Management 2015</w:t>
      </w:r>
      <w:r w:rsidRPr="008A7483">
        <w:rPr>
          <w:rStyle w:val="Hyperlink"/>
          <w:rFonts w:ascii="Arial" w:hAnsi="Arial" w:cs="Arial"/>
          <w:b/>
          <w:bCs/>
          <w:color w:val="auto"/>
          <w:u w:val="none"/>
        </w:rPr>
        <w:t xml:space="preserve"> / </w:t>
      </w:r>
      <w:r>
        <w:rPr>
          <w:rStyle w:val="Hyperlink"/>
          <w:rFonts w:ascii="Arial" w:hAnsi="Arial" w:cs="Arial"/>
          <w:b/>
          <w:bCs/>
          <w:color w:val="FF0000"/>
          <w:u w:val="none"/>
        </w:rPr>
        <w:t xml:space="preserve">Southeast </w:t>
      </w:r>
      <w:r w:rsidRPr="008A7483">
        <w:rPr>
          <w:rStyle w:val="Hyperlink"/>
          <w:rFonts w:ascii="Arial" w:hAnsi="Arial" w:cs="Arial"/>
          <w:b/>
          <w:bCs/>
          <w:color w:val="FF0000"/>
          <w:u w:val="none"/>
        </w:rPr>
        <w:t xml:space="preserve">Asia </w:t>
      </w:r>
      <w:r w:rsidRPr="008A7483">
        <w:rPr>
          <w:rFonts w:ascii="Arial" w:hAnsi="Arial" w:cs="Arial"/>
          <w:b/>
          <w:bCs/>
          <w:color w:val="595959"/>
        </w:rPr>
        <w:t xml:space="preserve">/ October 13 </w:t>
      </w:r>
    </w:p>
    <w:p w:rsidR="003D4815" w:rsidRPr="008A7483" w:rsidRDefault="003D4815" w:rsidP="003D4815">
      <w:pPr>
        <w:pStyle w:val="Projectsubtitle"/>
        <w:rPr>
          <w:rFonts w:ascii="Arial" w:hAnsi="Arial" w:cs="Arial"/>
          <w:b/>
          <w:bCs/>
          <w:color w:val="595959"/>
        </w:rPr>
      </w:pPr>
    </w:p>
    <w:p w:rsidR="009E5C50" w:rsidRDefault="00F64174" w:rsidP="009D2BE0">
      <w:r w:rsidRPr="00910BA6">
        <w:rPr>
          <w:rStyle w:val="Heading1Char"/>
        </w:rPr>
        <w:t xml:space="preserve">Worldwide </w:t>
      </w:r>
      <w:r w:rsidR="001C2AB4" w:rsidRPr="00910BA6">
        <w:rPr>
          <w:rStyle w:val="Heading1Char"/>
        </w:rPr>
        <w:t>facts and figures</w:t>
      </w:r>
      <w:r w:rsidRPr="00910BA6">
        <w:rPr>
          <w:rStyle w:val="Heading1Char"/>
        </w:rPr>
        <w:t xml:space="preserve"> </w:t>
      </w:r>
      <w:r w:rsidR="00DB5642" w:rsidRPr="00910BA6">
        <w:rPr>
          <w:rStyle w:val="Heading1Char"/>
        </w:rPr>
        <w:t xml:space="preserve">on </w:t>
      </w:r>
      <w:r w:rsidRPr="00910BA6">
        <w:rPr>
          <w:rStyle w:val="Heading1Char"/>
        </w:rPr>
        <w:t>d</w:t>
      </w:r>
      <w:r w:rsidR="009E5C50" w:rsidRPr="00910BA6">
        <w:rPr>
          <w:rStyle w:val="Heading1Char"/>
        </w:rPr>
        <w:t>isasters</w:t>
      </w:r>
      <w:r w:rsidR="00557D88">
        <w:rPr>
          <w:rStyle w:val="FootnoteReference"/>
          <w:b/>
        </w:rPr>
        <w:footnoteReference w:id="1"/>
      </w:r>
      <w:r w:rsidR="009E5C50" w:rsidRPr="00F64174">
        <w:rPr>
          <w:b/>
        </w:rPr>
        <w:t xml:space="preserve"> </w:t>
      </w:r>
    </w:p>
    <w:p w:rsidR="00F64174" w:rsidRPr="00F64174" w:rsidRDefault="00F64174" w:rsidP="00557D88">
      <w:pPr>
        <w:pStyle w:val="ListParagraph"/>
        <w:numPr>
          <w:ilvl w:val="0"/>
          <w:numId w:val="14"/>
        </w:numPr>
        <w:spacing w:after="120"/>
        <w:ind w:left="357" w:hanging="357"/>
        <w:rPr>
          <w:rFonts w:ascii="MS Gothic" w:eastAsia="MS Gothic" w:hAnsi="MS Gothic" w:cs="MS Gothic"/>
          <w:lang w:val="en-AU"/>
        </w:rPr>
      </w:pPr>
      <w:r>
        <w:t xml:space="preserve">48% of all </w:t>
      </w:r>
      <w:r w:rsidR="001C2AB4">
        <w:t xml:space="preserve">natural </w:t>
      </w:r>
      <w:r>
        <w:t xml:space="preserve">disasters occurred in Asia in 2014. Over 85% of those killed and 86% those affected globally were also in Asia. </w:t>
      </w:r>
    </w:p>
    <w:p w:rsidR="009E5C50" w:rsidRDefault="009E5C50" w:rsidP="00D509D0">
      <w:pPr>
        <w:pStyle w:val="ListParagraph"/>
        <w:numPr>
          <w:ilvl w:val="0"/>
          <w:numId w:val="14"/>
        </w:numPr>
        <w:spacing w:after="120"/>
        <w:ind w:left="357" w:hanging="357"/>
      </w:pPr>
      <w:r>
        <w:t xml:space="preserve">Almost 107 million people </w:t>
      </w:r>
      <w:r w:rsidR="00366D66">
        <w:t xml:space="preserve">are </w:t>
      </w:r>
      <w:r>
        <w:t xml:space="preserve">estimated to have been affected by disasters in 2014, a relative increase </w:t>
      </w:r>
      <w:r w:rsidR="009E515D">
        <w:t>from</w:t>
      </w:r>
      <w:r>
        <w:t xml:space="preserve"> </w:t>
      </w:r>
      <w:r w:rsidR="00366D66">
        <w:t>2013</w:t>
      </w:r>
      <w:r w:rsidR="00D509D0">
        <w:t>.</w:t>
      </w:r>
    </w:p>
    <w:p w:rsidR="009E5C50" w:rsidRDefault="009E5C50" w:rsidP="00F64174">
      <w:pPr>
        <w:pStyle w:val="ListParagraph"/>
        <w:numPr>
          <w:ilvl w:val="0"/>
          <w:numId w:val="14"/>
        </w:numPr>
        <w:spacing w:after="120"/>
        <w:ind w:left="357" w:hanging="357"/>
      </w:pPr>
      <w:r>
        <w:t>Floods and landslides accounted for 49% of all natural disasters in 2014, causing 63% of the total number of disaster related deaths and 34% of the total number of people affected by disas</w:t>
      </w:r>
      <w:r w:rsidR="00F64174">
        <w:t xml:space="preserve">ters. </w:t>
      </w:r>
      <w:r>
        <w:t>Drought affected 39% of the total number of people affected by disasters.</w:t>
      </w:r>
    </w:p>
    <w:p w:rsidR="005D6496" w:rsidRDefault="009E5C50" w:rsidP="009E5C50">
      <w:pPr>
        <w:pStyle w:val="ListParagraph"/>
        <w:numPr>
          <w:ilvl w:val="0"/>
          <w:numId w:val="14"/>
        </w:numPr>
        <w:spacing w:after="120"/>
        <w:ind w:left="357" w:hanging="357"/>
      </w:pPr>
      <w:r>
        <w:t>In 2014, economic losses were estimated at $99.2 billion US dollars</w:t>
      </w:r>
      <w:r w:rsidR="00F64174">
        <w:t>,</w:t>
      </w:r>
      <w:r>
        <w:t xml:space="preserve"> well below the annual average of 147 billion seen in the past ten years. For the first time since 1980, the world experienced a consecutive decrease in economic losses over the last three years. </w:t>
      </w:r>
    </w:p>
    <w:p w:rsidR="004506F4" w:rsidRDefault="004506F4" w:rsidP="00910BA6">
      <w:pPr>
        <w:pStyle w:val="Heading1"/>
      </w:pPr>
    </w:p>
    <w:p w:rsidR="00394645" w:rsidRPr="00394645" w:rsidRDefault="008112EE" w:rsidP="00910BA6">
      <w:pPr>
        <w:pStyle w:val="Heading1"/>
        <w:rPr>
          <w:b/>
        </w:rPr>
      </w:pPr>
      <w:r>
        <w:rPr>
          <w:b/>
        </w:rPr>
        <w:t xml:space="preserve">Regional disaster </w:t>
      </w:r>
      <w:r w:rsidR="001C2AB4">
        <w:rPr>
          <w:b/>
        </w:rPr>
        <w:t>facts and figures</w:t>
      </w:r>
    </w:p>
    <w:p w:rsidR="00394645" w:rsidRDefault="00DB5642" w:rsidP="00213F96">
      <w:pPr>
        <w:pStyle w:val="ListParagraph"/>
        <w:numPr>
          <w:ilvl w:val="0"/>
          <w:numId w:val="20"/>
        </w:numPr>
      </w:pPr>
      <w:r>
        <w:t xml:space="preserve">Asia Pacific </w:t>
      </w:r>
      <w:r w:rsidR="009E515D">
        <w:t>has the</w:t>
      </w:r>
      <w:r>
        <w:t xml:space="preserve"> highest number of natural </w:t>
      </w:r>
      <w:proofErr w:type="spellStart"/>
      <w:r>
        <w:t>disasters</w:t>
      </w:r>
      <w:r w:rsidR="009E515D">
        <w:t>;o</w:t>
      </w:r>
      <w:r>
        <w:t>f</w:t>
      </w:r>
      <w:proofErr w:type="spellEnd"/>
      <w:r>
        <w:t xml:space="preserve"> the world’s reported natural disasters between 2004 and 2013, 41.2%, or 1,690 incidences, occur</w:t>
      </w:r>
      <w:r w:rsidR="003B063A">
        <w:t>red in the Asia-Pacific region</w:t>
      </w:r>
      <w:r w:rsidR="003B063A">
        <w:rPr>
          <w:rStyle w:val="FootnoteReference"/>
        </w:rPr>
        <w:footnoteReference w:id="2"/>
      </w:r>
      <w:r w:rsidR="003B063A">
        <w:t>.</w:t>
      </w:r>
    </w:p>
    <w:p w:rsidR="00AB5362" w:rsidRDefault="0091064A" w:rsidP="00213F96">
      <w:pPr>
        <w:pStyle w:val="ListParagraph"/>
        <w:numPr>
          <w:ilvl w:val="0"/>
          <w:numId w:val="20"/>
        </w:numPr>
      </w:pPr>
      <w:r>
        <w:t>D</w:t>
      </w:r>
      <w:r w:rsidRPr="0091064A">
        <w:t>isaster-induced deaths in the Asia-Pacific region rose more than three-fold between in the past decade, largely due to a handful of extreme disasters</w:t>
      </w:r>
      <w:r w:rsidR="00DB5642">
        <w:t xml:space="preserve">, </w:t>
      </w:r>
      <w:r w:rsidRPr="0091064A">
        <w:t xml:space="preserve">including the 2004 Indian Ocean earthquake and Cyclone </w:t>
      </w:r>
      <w:proofErr w:type="spellStart"/>
      <w:r w:rsidRPr="0091064A">
        <w:t>Nargis</w:t>
      </w:r>
      <w:proofErr w:type="spellEnd"/>
      <w:r w:rsidRPr="0091064A">
        <w:t xml:space="preserve"> in Myanmar</w:t>
      </w:r>
      <w:r w:rsidR="003B063A">
        <w:rPr>
          <w:rStyle w:val="FootnoteReference"/>
        </w:rPr>
        <w:footnoteReference w:id="3"/>
      </w:r>
      <w:r w:rsidRPr="0091064A">
        <w:t>.</w:t>
      </w:r>
      <w:r w:rsidRPr="00F6148E">
        <w:rPr>
          <w:sz w:val="16"/>
          <w:szCs w:val="16"/>
        </w:rPr>
        <w:t xml:space="preserve"> </w:t>
      </w:r>
    </w:p>
    <w:p w:rsidR="00D8250A" w:rsidRDefault="0091064A" w:rsidP="00213F96">
      <w:pPr>
        <w:pStyle w:val="ListParagraph"/>
        <w:numPr>
          <w:ilvl w:val="0"/>
          <w:numId w:val="20"/>
        </w:numPr>
      </w:pPr>
      <w:r w:rsidRPr="0091064A">
        <w:t>Southeast Asia – predominantly Indonesia and the Philippines – was hardest hit by natural disasters that killed more than 350,000 in more than 500 incidents</w:t>
      </w:r>
      <w:r w:rsidR="00004B3C">
        <w:rPr>
          <w:rStyle w:val="FootnoteReference"/>
        </w:rPr>
        <w:footnoteReference w:id="4"/>
      </w:r>
      <w:r w:rsidR="00004B3C">
        <w:t>.</w:t>
      </w:r>
    </w:p>
    <w:p w:rsidR="00FA3B8F" w:rsidRDefault="00D8250A" w:rsidP="00213F96">
      <w:pPr>
        <w:pStyle w:val="ListParagraph"/>
        <w:numPr>
          <w:ilvl w:val="0"/>
          <w:numId w:val="20"/>
        </w:numPr>
      </w:pPr>
      <w:r w:rsidRPr="00D8250A">
        <w:t>During the period between 2004 and 2013, natural disasters in Asia and the Pacific caused economic damage of over $560 billion, of which 85.5</w:t>
      </w:r>
      <w:r w:rsidR="00D509D0">
        <w:t>%</w:t>
      </w:r>
      <w:r w:rsidRPr="00D8250A">
        <w:t>was accounted for by 28 upper-middle-income and high-income economies</w:t>
      </w:r>
      <w:r w:rsidR="00004B3C">
        <w:rPr>
          <w:rStyle w:val="FootnoteReference"/>
        </w:rPr>
        <w:footnoteReference w:id="5"/>
      </w:r>
      <w:r w:rsidR="00004B3C">
        <w:t>.</w:t>
      </w:r>
    </w:p>
    <w:p w:rsidR="00FA3B8F" w:rsidRPr="00F56A00" w:rsidRDefault="00FA3B8F" w:rsidP="00213F96">
      <w:pPr>
        <w:pStyle w:val="ListParagraph"/>
        <w:numPr>
          <w:ilvl w:val="0"/>
          <w:numId w:val="20"/>
        </w:numPr>
        <w:rPr>
          <w:b/>
        </w:rPr>
        <w:sectPr w:rsidR="00FA3B8F" w:rsidRPr="00F56A00">
          <w:footerReference w:type="default" r:id="rId9"/>
          <w:footerReference w:type="first" r:id="rId10"/>
          <w:pgSz w:w="11900" w:h="16840"/>
          <w:pgMar w:top="567" w:right="1134" w:bottom="1701" w:left="1134" w:header="709" w:footer="709" w:gutter="0"/>
          <w:cols w:space="708"/>
          <w:titlePg/>
        </w:sectPr>
      </w:pPr>
      <w:r>
        <w:t>To respond to disasters, t</w:t>
      </w:r>
      <w:r w:rsidR="00DB5642">
        <w:t xml:space="preserve">he </w:t>
      </w:r>
      <w:r w:rsidRPr="00FA3B8F">
        <w:t>International Federation of Red C</w:t>
      </w:r>
      <w:r>
        <w:t xml:space="preserve">ross and Red Crescent Societies </w:t>
      </w:r>
      <w:r w:rsidR="00DB5642">
        <w:t xml:space="preserve">has </w:t>
      </w:r>
      <w:r>
        <w:t xml:space="preserve">established </w:t>
      </w:r>
      <w:r w:rsidR="00DB5642">
        <w:t xml:space="preserve">a partnership with ASEAN’s </w:t>
      </w:r>
      <w:r w:rsidR="00DB5642" w:rsidRPr="005F74E5">
        <w:t xml:space="preserve">Coordinating Centre for Humanitarian Assistance on </w:t>
      </w:r>
      <w:r w:rsidR="00EC1681">
        <w:t>D</w:t>
      </w:r>
      <w:r w:rsidR="00DB5642" w:rsidRPr="005F74E5">
        <w:t xml:space="preserve">isaster </w:t>
      </w:r>
      <w:r w:rsidR="00EC1681">
        <w:t>M</w:t>
      </w:r>
      <w:r w:rsidR="00DB5642" w:rsidRPr="005F74E5">
        <w:t>anagement</w:t>
      </w:r>
      <w:r w:rsidR="00EC1681">
        <w:t xml:space="preserve"> (</w:t>
      </w:r>
      <w:r w:rsidR="00DB5642">
        <w:t>AHA Centre</w:t>
      </w:r>
      <w:r w:rsidR="00EC1681">
        <w:t>)</w:t>
      </w:r>
      <w:r w:rsidR="00DB5642">
        <w:t xml:space="preserve">, </w:t>
      </w:r>
      <w:r>
        <w:t xml:space="preserve">to help </w:t>
      </w:r>
      <w:r w:rsidR="00231EAC">
        <w:t xml:space="preserve">strengthen disaster response mechanisms and coordination </w:t>
      </w:r>
      <w:r>
        <w:t>in the region</w:t>
      </w:r>
      <w:r w:rsidR="00F56A00">
        <w:rPr>
          <w:rStyle w:val="FootnoteReference"/>
        </w:rPr>
        <w:footnoteReference w:id="6"/>
      </w:r>
      <w:r w:rsidR="00F56A00">
        <w:t>.</w:t>
      </w:r>
    </w:p>
    <w:p w:rsidR="006734E3" w:rsidRPr="0020495C" w:rsidRDefault="00392F4E" w:rsidP="00910BA6">
      <w:pPr>
        <w:pStyle w:val="Heading1"/>
      </w:pPr>
      <w:r>
        <w:lastRenderedPageBreak/>
        <w:t>Facts and figures on the v</w:t>
      </w:r>
      <w:r w:rsidR="008013E9">
        <w:t>alue of</w:t>
      </w:r>
      <w:r w:rsidR="009B0246">
        <w:t xml:space="preserve"> investing in disaster risk reduction</w:t>
      </w:r>
    </w:p>
    <w:p w:rsidR="004D40A6" w:rsidRDefault="003C5BE1" w:rsidP="00090D10">
      <w:pPr>
        <w:pStyle w:val="ListParagraph"/>
        <w:numPr>
          <w:ilvl w:val="0"/>
          <w:numId w:val="21"/>
        </w:numPr>
      </w:pPr>
      <w:r>
        <w:t>In 2014, f</w:t>
      </w:r>
      <w:r w:rsidR="001C2AB4" w:rsidRPr="00F73EA6">
        <w:t xml:space="preserve">or every dollar spent on disaster risk reduction, an estimated USD 15.65 was saved on average, according to the cost benefit analysis of Red Cross and Red Crescent </w:t>
      </w:r>
      <w:proofErr w:type="spellStart"/>
      <w:r w:rsidR="001C2AB4" w:rsidRPr="00F73EA6">
        <w:t>programmes</w:t>
      </w:r>
      <w:proofErr w:type="spellEnd"/>
      <w:r w:rsidR="001C2AB4" w:rsidRPr="00F73EA6">
        <w:t xml:space="preserve"> for community-</w:t>
      </w:r>
      <w:r w:rsidR="001C2AB4">
        <w:t>base</w:t>
      </w:r>
      <w:r w:rsidR="00F56A00">
        <w:t>d disaster risk reduction</w:t>
      </w:r>
      <w:r w:rsidR="00F56A00">
        <w:rPr>
          <w:rStyle w:val="FootnoteReference"/>
        </w:rPr>
        <w:footnoteReference w:id="7"/>
      </w:r>
      <w:r w:rsidR="00F56A00">
        <w:t>.</w:t>
      </w:r>
    </w:p>
    <w:p w:rsidR="004D40A6" w:rsidRDefault="004D40A6" w:rsidP="004D40A6">
      <w:pPr>
        <w:pStyle w:val="ListParagraph"/>
        <w:ind w:left="360"/>
      </w:pPr>
    </w:p>
    <w:p w:rsidR="004D40A6" w:rsidRDefault="001C2AB4" w:rsidP="004D40A6">
      <w:pPr>
        <w:pStyle w:val="ListParagraph"/>
        <w:numPr>
          <w:ilvl w:val="0"/>
          <w:numId w:val="21"/>
        </w:numPr>
      </w:pPr>
      <w:r>
        <w:t>M</w:t>
      </w:r>
      <w:r w:rsidR="00031504">
        <w:t xml:space="preserve">apping results over the past 6 years show a steady increase in spending and number people reached through the IFRC’s </w:t>
      </w:r>
      <w:r>
        <w:t>disaster risk reduction</w:t>
      </w:r>
      <w:r w:rsidR="00F56A00">
        <w:t xml:space="preserve"> projects</w:t>
      </w:r>
      <w:r w:rsidR="00F56A00">
        <w:rPr>
          <w:rStyle w:val="FootnoteReference"/>
        </w:rPr>
        <w:footnoteReference w:id="8"/>
      </w:r>
      <w:r w:rsidR="00F56A00">
        <w:t>.</w:t>
      </w:r>
    </w:p>
    <w:p w:rsidR="004D40A6" w:rsidRDefault="004D40A6" w:rsidP="004D40A6">
      <w:pPr>
        <w:pStyle w:val="ListParagraph"/>
        <w:ind w:left="360"/>
      </w:pPr>
    </w:p>
    <w:p w:rsidR="004D40A6" w:rsidRDefault="00BF47AB" w:rsidP="004D40A6">
      <w:pPr>
        <w:pStyle w:val="ListParagraph"/>
        <w:numPr>
          <w:ilvl w:val="0"/>
          <w:numId w:val="21"/>
        </w:numPr>
      </w:pPr>
      <w:r>
        <w:t xml:space="preserve">In 2014 the IFRC and its National Red Cross and Red Crescent Societies invested a total of 151.7 million Swiss francs on </w:t>
      </w:r>
      <w:r w:rsidR="001C2AB4">
        <w:t>disaster risk reduction</w:t>
      </w:r>
      <w:r>
        <w:t xml:space="preserve"> projects. This </w:t>
      </w:r>
      <w:r w:rsidR="00EC1681">
        <w:t xml:space="preserve">is an </w:t>
      </w:r>
      <w:r>
        <w:t xml:space="preserve"> increase of almost 30 million Swiss fra</w:t>
      </w:r>
      <w:r w:rsidR="001C2AB4">
        <w:t xml:space="preserve">ncs from </w:t>
      </w:r>
      <w:r w:rsidR="00F56A00">
        <w:t>2013</w:t>
      </w:r>
      <w:r w:rsidR="00F56A00">
        <w:rPr>
          <w:rStyle w:val="FootnoteReference"/>
        </w:rPr>
        <w:footnoteReference w:id="9"/>
      </w:r>
      <w:r w:rsidR="00F56A00">
        <w:t>.</w:t>
      </w:r>
    </w:p>
    <w:p w:rsidR="004D40A6" w:rsidRDefault="004D40A6" w:rsidP="004D40A6">
      <w:pPr>
        <w:pStyle w:val="ListParagraph"/>
        <w:ind w:left="360"/>
      </w:pPr>
    </w:p>
    <w:p w:rsidR="00187257" w:rsidRDefault="00F70F7A" w:rsidP="00090D10">
      <w:pPr>
        <w:pStyle w:val="ListParagraph"/>
        <w:numPr>
          <w:ilvl w:val="0"/>
          <w:numId w:val="21"/>
        </w:numPr>
      </w:pPr>
      <w:r>
        <w:t xml:space="preserve">Approximately 17.9 million people </w:t>
      </w:r>
      <w:r w:rsidR="00A5504F">
        <w:t xml:space="preserve">in the Asia Pacific </w:t>
      </w:r>
      <w:r>
        <w:t xml:space="preserve">were reached by IFRC and </w:t>
      </w:r>
      <w:r w:rsidRPr="00F70F7A">
        <w:t>National Red Cross and Red Crescent Societies</w:t>
      </w:r>
      <w:r>
        <w:t xml:space="preserve">’ </w:t>
      </w:r>
      <w:r w:rsidR="001C2AB4">
        <w:t>disaster risk reduction</w:t>
      </w:r>
      <w:r>
        <w:t xml:space="preserve"> projects</w:t>
      </w:r>
      <w:r w:rsidR="00EC1681">
        <w:t xml:space="preserve"> in 2014?</w:t>
      </w:r>
      <w:r w:rsidR="00F56A00">
        <w:rPr>
          <w:rStyle w:val="FootnoteReference"/>
        </w:rPr>
        <w:footnoteReference w:id="10"/>
      </w:r>
      <w:r w:rsidR="00F56A00">
        <w:t>.</w:t>
      </w:r>
      <w:r>
        <w:t xml:space="preserve"> </w:t>
      </w:r>
    </w:p>
    <w:p w:rsidR="00187257" w:rsidRDefault="00187257" w:rsidP="00187257">
      <w:pPr>
        <w:pStyle w:val="ListParagraph"/>
      </w:pPr>
    </w:p>
    <w:p w:rsidR="00BF47AB" w:rsidRDefault="003C5BE1" w:rsidP="00187257">
      <w:pPr>
        <w:pStyle w:val="ListParagraph"/>
        <w:ind w:left="360"/>
      </w:pPr>
      <w:r>
        <w:rPr>
          <w:noProof/>
          <w:lang w:val="en-GB" w:eastAsia="en-GB"/>
        </w:rPr>
        <w:drawing>
          <wp:inline distT="0" distB="0" distL="0" distR="0" wp14:anchorId="7241572C" wp14:editId="4FBA1C8F">
            <wp:extent cx="4525296" cy="26031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76498" cy="2632611"/>
                    </a:xfrm>
                    <a:prstGeom prst="rect">
                      <a:avLst/>
                    </a:prstGeom>
                    <a:noFill/>
                    <a:ln w="9525">
                      <a:noFill/>
                      <a:miter lim="800000"/>
                      <a:headEnd/>
                      <a:tailEnd/>
                    </a:ln>
                  </pic:spPr>
                </pic:pic>
              </a:graphicData>
            </a:graphic>
          </wp:inline>
        </w:drawing>
      </w:r>
    </w:p>
    <w:p w:rsidR="00187257" w:rsidRDefault="00187257" w:rsidP="00187257">
      <w:pPr>
        <w:pStyle w:val="ListParagraph"/>
      </w:pPr>
    </w:p>
    <w:p w:rsidR="00187257" w:rsidRDefault="00187257" w:rsidP="00187257">
      <w:pPr>
        <w:pStyle w:val="ListParagraph"/>
        <w:ind w:left="360"/>
      </w:pPr>
    </w:p>
    <w:p w:rsidR="001C2AB4" w:rsidRDefault="00D509D0" w:rsidP="00AD6CC4">
      <w:pPr>
        <w:pStyle w:val="ListParagraph"/>
        <w:numPr>
          <w:ilvl w:val="0"/>
          <w:numId w:val="24"/>
        </w:numPr>
      </w:pPr>
      <w:r>
        <w:t>In 2014, m</w:t>
      </w:r>
      <w:r w:rsidR="00A01373">
        <w:t>ore than 63</w:t>
      </w:r>
      <w:r>
        <w:t>%</w:t>
      </w:r>
      <w:r w:rsidR="00A01373">
        <w:t xml:space="preserve">of IFRC’s total </w:t>
      </w:r>
      <w:r w:rsidR="001C2AB4">
        <w:t>disaster risk reduction</w:t>
      </w:r>
      <w:r w:rsidR="00A01373">
        <w:t xml:space="preserve"> expenditure was made in community-based disaster risk reduction and 23.7</w:t>
      </w:r>
      <w:r>
        <w:t>%</w:t>
      </w:r>
      <w:r w:rsidR="00A01373">
        <w:t xml:space="preserve">in National Society disaster preparedness, with the rest in climate change adaptation and mitigation, and food </w:t>
      </w:r>
      <w:r w:rsidR="006136CB">
        <w:t>security, nutrition and livelihoods</w:t>
      </w:r>
      <w:r w:rsidR="00F56A00">
        <w:rPr>
          <w:rStyle w:val="FootnoteReference"/>
        </w:rPr>
        <w:footnoteReference w:id="11"/>
      </w:r>
      <w:r w:rsidR="00F56A00">
        <w:t>.</w:t>
      </w:r>
      <w:r w:rsidR="006136CB">
        <w:t xml:space="preserve"> </w:t>
      </w:r>
    </w:p>
    <w:p w:rsidR="00187257" w:rsidRDefault="00187257" w:rsidP="00187257">
      <w:pPr>
        <w:pStyle w:val="ListParagraph"/>
        <w:ind w:left="360"/>
      </w:pPr>
    </w:p>
    <w:p w:rsidR="001C2AB4" w:rsidRPr="00A906D4" w:rsidRDefault="001C2AB4" w:rsidP="00AD6CC4">
      <w:pPr>
        <w:pStyle w:val="ListParagraph"/>
        <w:numPr>
          <w:ilvl w:val="0"/>
          <w:numId w:val="24"/>
        </w:numPr>
      </w:pPr>
      <w:r w:rsidRPr="00A906D4">
        <w:t xml:space="preserve">Through its network of 17 million volunteers and 189 National Societies, </w:t>
      </w:r>
      <w:r w:rsidR="001F41E6">
        <w:t xml:space="preserve">the International Federation of Red Cross and Red Crescent National Societies is </w:t>
      </w:r>
      <w:r w:rsidRPr="00A906D4">
        <w:t>reaching tens of millions of people through disaster preparedness, risk reduc</w:t>
      </w:r>
      <w:r w:rsidR="001F41E6">
        <w:t xml:space="preserve">tion and development </w:t>
      </w:r>
      <w:proofErr w:type="spellStart"/>
      <w:r w:rsidR="001F41E6">
        <w:t>programmes</w:t>
      </w:r>
      <w:proofErr w:type="spellEnd"/>
      <w:r w:rsidR="001F41E6">
        <w:rPr>
          <w:rStyle w:val="FootnoteReference"/>
        </w:rPr>
        <w:footnoteReference w:id="12"/>
      </w:r>
      <w:r w:rsidR="001F41E6">
        <w:t>.</w:t>
      </w:r>
    </w:p>
    <w:p w:rsidR="00A01373" w:rsidRDefault="00A01373" w:rsidP="001C2AB4">
      <w:pPr>
        <w:pStyle w:val="ListParagraph"/>
        <w:ind w:left="360"/>
      </w:pPr>
    </w:p>
    <w:p w:rsidR="00F42C01" w:rsidRDefault="0065261F" w:rsidP="00AD6CC4">
      <w:pPr>
        <w:pStyle w:val="Heading1"/>
      </w:pPr>
      <w:r>
        <w:br w:type="page"/>
      </w:r>
      <w:r w:rsidR="00392F4E">
        <w:lastRenderedPageBreak/>
        <w:t xml:space="preserve">Facts on the Red Cross Red Crescent’s </w:t>
      </w:r>
      <w:r w:rsidR="00F42C01">
        <w:t xml:space="preserve">commitment to </w:t>
      </w:r>
      <w:r w:rsidR="001C2AB4">
        <w:t>disaster risk reduction</w:t>
      </w:r>
    </w:p>
    <w:p w:rsidR="00392F4E" w:rsidRDefault="00392F4E" w:rsidP="00AD6CC4">
      <w:pPr>
        <w:pStyle w:val="ListParagraph"/>
        <w:numPr>
          <w:ilvl w:val="0"/>
          <w:numId w:val="22"/>
        </w:numPr>
        <w:ind w:left="360"/>
      </w:pPr>
      <w:r>
        <w:t>The Red Cross Red Crescent Movement is deeply</w:t>
      </w:r>
      <w:r w:rsidR="00F42C01" w:rsidRPr="00F42C01">
        <w:t xml:space="preserve"> committed to the Sendai Framework for Disaster Risk Reduction</w:t>
      </w:r>
      <w:r w:rsidR="00CB19C0">
        <w:t xml:space="preserve"> </w:t>
      </w:r>
      <w:r w:rsidR="00CB19C0" w:rsidRPr="00CB19C0">
        <w:t>2015-2030</w:t>
      </w:r>
      <w:r w:rsidR="00F42C01">
        <w:t>, as adopted at</w:t>
      </w:r>
      <w:r w:rsidR="00F42C01" w:rsidRPr="00F42C01">
        <w:t xml:space="preserve"> the Third UN World Conference on Disaster R</w:t>
      </w:r>
      <w:r>
        <w:t>isk Reduction in Sendai, Japan</w:t>
      </w:r>
      <w:r w:rsidR="00F42C01">
        <w:t>.</w:t>
      </w:r>
      <w:r w:rsidR="001F41E6">
        <w:rPr>
          <w:rStyle w:val="FootnoteReference"/>
        </w:rPr>
        <w:footnoteReference w:id="13"/>
      </w:r>
      <w:r w:rsidR="001F41E6">
        <w:t>.</w:t>
      </w:r>
    </w:p>
    <w:p w:rsidR="00732A4B" w:rsidRDefault="00732A4B" w:rsidP="00AD6CC4">
      <w:pPr>
        <w:pStyle w:val="ListParagraph"/>
        <w:ind w:left="0"/>
      </w:pPr>
    </w:p>
    <w:p w:rsidR="00635E47" w:rsidRDefault="00635E47" w:rsidP="00AD6CC4">
      <w:pPr>
        <w:pStyle w:val="ListParagraph"/>
        <w:numPr>
          <w:ilvl w:val="0"/>
          <w:numId w:val="22"/>
        </w:numPr>
        <w:ind w:left="360"/>
      </w:pPr>
      <w:r>
        <w:t>In the lead up to Sendai, t</w:t>
      </w:r>
      <w:r w:rsidRPr="00BB28D4">
        <w:t xml:space="preserve">he International Federation of Red Cross and Red Crescent Societies (IFRC) </w:t>
      </w:r>
      <w:r>
        <w:t>worked</w:t>
      </w:r>
      <w:r w:rsidRPr="00BB28D4">
        <w:t xml:space="preserve"> closely with many National Societies to ensure that th</w:t>
      </w:r>
      <w:r>
        <w:t>e resulting declaration reflected</w:t>
      </w:r>
      <w:r w:rsidRPr="00BB28D4">
        <w:t xml:space="preserve"> the needs and aspirations of vulnerable communities</w:t>
      </w:r>
      <w:r w:rsidR="001F41E6">
        <w:rPr>
          <w:rStyle w:val="FootnoteReference"/>
        </w:rPr>
        <w:footnoteReference w:id="14"/>
      </w:r>
      <w:r w:rsidRPr="00BB28D4">
        <w:t xml:space="preserve">. </w:t>
      </w:r>
    </w:p>
    <w:p w:rsidR="005F72EA" w:rsidRDefault="005F72EA" w:rsidP="00AD6CC4">
      <w:pPr>
        <w:pStyle w:val="ListParagraph"/>
        <w:ind w:left="0"/>
      </w:pPr>
    </w:p>
    <w:p w:rsidR="008013E9" w:rsidRDefault="00CC3FD9" w:rsidP="00AD6CC4">
      <w:pPr>
        <w:pStyle w:val="ListParagraph"/>
        <w:numPr>
          <w:ilvl w:val="0"/>
          <w:numId w:val="22"/>
        </w:numPr>
        <w:ind w:left="360"/>
      </w:pPr>
      <w:r>
        <w:t>In February this year, a</w:t>
      </w:r>
      <w:r w:rsidR="00635E47">
        <w:t xml:space="preserve">t the </w:t>
      </w:r>
      <w:r w:rsidR="00635E47" w:rsidRPr="00BD3EDB">
        <w:rPr>
          <w:b/>
        </w:rPr>
        <w:t>12th Annual South-East Asia Red Cross Red Crescent Leadership Meeting</w:t>
      </w:r>
      <w:r>
        <w:t xml:space="preserve"> in Phnom Penh, </w:t>
      </w:r>
      <w:r w:rsidR="00635E47">
        <w:t xml:space="preserve">leaders of Southeast Asia’s National Societies recognized the importance of </w:t>
      </w:r>
      <w:r w:rsidR="00F640F9">
        <w:t xml:space="preserve">continuing to </w:t>
      </w:r>
      <w:r w:rsidR="00635E47">
        <w:t>strengthen the resilience of vulnerable and disaster-affected populations</w:t>
      </w:r>
      <w:r w:rsidR="00F640F9">
        <w:t>, particularly through disaster law</w:t>
      </w:r>
      <w:r w:rsidR="00A7359D">
        <w:rPr>
          <w:rStyle w:val="FootnoteReference"/>
        </w:rPr>
        <w:footnoteReference w:id="15"/>
      </w:r>
      <w:r w:rsidR="00A7359D">
        <w:t>.</w:t>
      </w:r>
      <w:r w:rsidR="00F640F9">
        <w:t xml:space="preserve"> </w:t>
      </w:r>
    </w:p>
    <w:p w:rsidR="005F72EA" w:rsidRPr="00BD3EDB" w:rsidRDefault="005F72EA" w:rsidP="00AD6CC4">
      <w:pPr>
        <w:pStyle w:val="ListParagraph"/>
        <w:ind w:left="0"/>
      </w:pPr>
    </w:p>
    <w:p w:rsidR="006E5BE6" w:rsidRDefault="00920374" w:rsidP="00AD6CC4">
      <w:pPr>
        <w:pStyle w:val="ListParagraph"/>
        <w:numPr>
          <w:ilvl w:val="0"/>
          <w:numId w:val="22"/>
        </w:numPr>
        <w:spacing w:before="0"/>
        <w:ind w:left="360"/>
      </w:pPr>
      <w:r>
        <w:t>M</w:t>
      </w:r>
      <w:r w:rsidRPr="00920374">
        <w:t>ore than 25 National Societies joined the IFRC</w:t>
      </w:r>
      <w:r>
        <w:t xml:space="preserve"> </w:t>
      </w:r>
      <w:r w:rsidR="00510A8A">
        <w:t xml:space="preserve">delegation </w:t>
      </w:r>
      <w:r>
        <w:t>a</w:t>
      </w:r>
      <w:r w:rsidR="008013E9" w:rsidRPr="008013E9">
        <w:t xml:space="preserve">t the </w:t>
      </w:r>
      <w:r w:rsidR="008013E9" w:rsidRPr="00BD3EDB">
        <w:rPr>
          <w:b/>
        </w:rPr>
        <w:t xml:space="preserve">6th </w:t>
      </w:r>
      <w:r w:rsidRPr="00BD3EDB">
        <w:rPr>
          <w:b/>
        </w:rPr>
        <w:t xml:space="preserve">Asian Ministerial Conference on Disaster Risk Reduction </w:t>
      </w:r>
      <w:r w:rsidR="00CC3FD9">
        <w:t>in Bangkok in</w:t>
      </w:r>
      <w:r w:rsidR="008013E9" w:rsidRPr="008013E9">
        <w:t xml:space="preserve"> June</w:t>
      </w:r>
      <w:r>
        <w:t xml:space="preserve"> 2014</w:t>
      </w:r>
      <w:r w:rsidR="008013E9" w:rsidRPr="008013E9">
        <w:t xml:space="preserve">, and were deeply involved in providing key contributions from the </w:t>
      </w:r>
      <w:r w:rsidR="00510A8A">
        <w:t>Asia-Pacific region</w:t>
      </w:r>
      <w:r w:rsidR="001F41E6">
        <w:rPr>
          <w:rStyle w:val="FootnoteReference"/>
        </w:rPr>
        <w:footnoteReference w:id="16"/>
      </w:r>
      <w:r w:rsidR="001F41E6">
        <w:t xml:space="preserve">. </w:t>
      </w:r>
    </w:p>
    <w:p w:rsidR="005F72EA" w:rsidRDefault="005F72EA" w:rsidP="00AD6CC4">
      <w:pPr>
        <w:pStyle w:val="ListParagraph"/>
        <w:spacing w:before="0"/>
        <w:ind w:left="0"/>
      </w:pPr>
    </w:p>
    <w:p w:rsidR="00510A8A" w:rsidRDefault="004B00FA" w:rsidP="009C517E">
      <w:pPr>
        <w:pStyle w:val="ListParagraph"/>
        <w:numPr>
          <w:ilvl w:val="0"/>
          <w:numId w:val="22"/>
        </w:numPr>
        <w:spacing w:before="0"/>
        <w:ind w:left="360"/>
      </w:pPr>
      <w:r>
        <w:t xml:space="preserve">The IFRC’s ‘Voluntary Commitment’ </w:t>
      </w:r>
      <w:r w:rsidR="000D55DD">
        <w:t>at</w:t>
      </w:r>
      <w:r w:rsidR="000D55DD" w:rsidRPr="008013E9">
        <w:t xml:space="preserve"> the </w:t>
      </w:r>
      <w:r w:rsidR="000D55DD" w:rsidRPr="00BD3EDB">
        <w:rPr>
          <w:b/>
        </w:rPr>
        <w:t xml:space="preserve">6th Asian Ministerial Conference on Disaster Risk Reduction </w:t>
      </w:r>
      <w:r w:rsidR="00920374">
        <w:t>saw</w:t>
      </w:r>
      <w:r w:rsidR="006E5BE6" w:rsidRPr="006E5BE6">
        <w:t xml:space="preserve"> National Societies across Asia </w:t>
      </w:r>
      <w:r w:rsidR="00920374">
        <w:t xml:space="preserve">commit </w:t>
      </w:r>
      <w:r w:rsidR="006E5BE6" w:rsidRPr="006E5BE6">
        <w:t xml:space="preserve">to enhancing resilience at local levels with programs </w:t>
      </w:r>
      <w:r w:rsidR="009C517E">
        <w:t>in</w:t>
      </w:r>
      <w:r w:rsidR="00510A8A">
        <w:t xml:space="preserve"> </w:t>
      </w:r>
      <w:r w:rsidR="00CC3FD9">
        <w:t>disaster risk reduction</w:t>
      </w:r>
      <w:r w:rsidR="006E5BE6" w:rsidRPr="006E5BE6">
        <w:t xml:space="preserve">, health, shelter, livelihoods, and climate change. </w:t>
      </w:r>
    </w:p>
    <w:p w:rsidR="00510A8A" w:rsidRDefault="00510A8A" w:rsidP="00AD6CC4">
      <w:pPr>
        <w:pStyle w:val="ListParagraph"/>
        <w:ind w:left="360"/>
      </w:pPr>
    </w:p>
    <w:p w:rsidR="00AD6CC4" w:rsidRDefault="001F41E6" w:rsidP="00AD6CC4">
      <w:pPr>
        <w:pStyle w:val="ListParagraph"/>
        <w:spacing w:before="0"/>
        <w:ind w:left="360"/>
      </w:pPr>
      <w:r>
        <w:t>T</w:t>
      </w:r>
      <w:r w:rsidR="006E5BE6" w:rsidRPr="006E5BE6">
        <w:t xml:space="preserve">he IFRC committed that 20 National Societies in Asia will establish long term resilience programs reaching at least two million people each year, and that 15 National Societies will have formal agreements with their governments in </w:t>
      </w:r>
      <w:r w:rsidR="00510A8A">
        <w:t xml:space="preserve">disaster risk </w:t>
      </w:r>
      <w:proofErr w:type="spellStart"/>
      <w:r w:rsidR="00510A8A">
        <w:t>reducton</w:t>
      </w:r>
      <w:proofErr w:type="spellEnd"/>
      <w:r>
        <w:rPr>
          <w:rStyle w:val="FootnoteReference"/>
        </w:rPr>
        <w:footnoteReference w:id="17"/>
      </w:r>
      <w:r w:rsidR="006E5BE6" w:rsidRPr="006E5BE6">
        <w:t xml:space="preserve">. </w:t>
      </w:r>
    </w:p>
    <w:p w:rsidR="00AD6CC4" w:rsidRDefault="00AD6CC4" w:rsidP="00AD6CC4">
      <w:pPr>
        <w:spacing w:before="0"/>
      </w:pPr>
    </w:p>
    <w:p w:rsidR="00AD6CC4" w:rsidRPr="00B22AAF" w:rsidRDefault="00AD6CC4" w:rsidP="00AD6CC4">
      <w:pPr>
        <w:pStyle w:val="Heading1"/>
      </w:pPr>
      <w:r>
        <w:t>Red Cross Red Crescent recognition of</w:t>
      </w:r>
      <w:r w:rsidRPr="00B22AAF">
        <w:t xml:space="preserve"> indigenous </w:t>
      </w:r>
      <w:r>
        <w:t xml:space="preserve">and local </w:t>
      </w:r>
      <w:r w:rsidRPr="00B22AAF">
        <w:t>knowledge</w:t>
      </w:r>
      <w:r>
        <w:t xml:space="preserve"> in DRR</w:t>
      </w:r>
    </w:p>
    <w:p w:rsidR="00AD6CC4" w:rsidRDefault="00AD6CC4" w:rsidP="00AD6CC4">
      <w:pPr>
        <w:pStyle w:val="ListParagraph"/>
        <w:numPr>
          <w:ilvl w:val="0"/>
          <w:numId w:val="23"/>
        </w:numPr>
        <w:rPr>
          <w:bCs/>
        </w:rPr>
      </w:pPr>
      <w:r>
        <w:t xml:space="preserve">The importance of evaluating traditional or indigenous knowledge to improve observation of climate change and its impacts is included in the </w:t>
      </w:r>
      <w:r w:rsidRPr="00A8338C">
        <w:rPr>
          <w:b/>
        </w:rPr>
        <w:t>Red Cross Red Crescent Climate Centre’s ‘Minimum Standards for Local Climate</w:t>
      </w:r>
      <w:r>
        <w:rPr>
          <w:rFonts w:ascii="Minion Pro Med Ital" w:hAnsi="Minion Pro Med Ital" w:cs="Minion Pro Med Ital"/>
          <w:b/>
        </w:rPr>
        <w:t>-</w:t>
      </w:r>
      <w:r w:rsidRPr="00A8338C">
        <w:rPr>
          <w:b/>
        </w:rPr>
        <w:t>Smart Disaster Risk Reduction’</w:t>
      </w:r>
      <w:r w:rsidRPr="00A8338C">
        <w:rPr>
          <w:rStyle w:val="FootnoteReference"/>
          <w:bCs/>
        </w:rPr>
        <w:footnoteReference w:id="18"/>
      </w:r>
      <w:r w:rsidRPr="00A8338C">
        <w:rPr>
          <w:bCs/>
        </w:rPr>
        <w:t>.</w:t>
      </w:r>
    </w:p>
    <w:p w:rsidR="00AD6CC4" w:rsidRPr="00A8338C" w:rsidRDefault="00AD6CC4" w:rsidP="00AD6CC4">
      <w:pPr>
        <w:pStyle w:val="ListParagraph"/>
        <w:ind w:left="360"/>
        <w:rPr>
          <w:bCs/>
        </w:rPr>
      </w:pPr>
    </w:p>
    <w:p w:rsidR="009C517E" w:rsidRDefault="00AD6CC4" w:rsidP="009C517E">
      <w:pPr>
        <w:pStyle w:val="ListParagraph"/>
        <w:numPr>
          <w:ilvl w:val="0"/>
          <w:numId w:val="23"/>
        </w:numPr>
      </w:pPr>
      <w:r>
        <w:t xml:space="preserve">Local knowledge – including indigenous and traditional knowledge – is integral to the </w:t>
      </w:r>
      <w:r w:rsidRPr="00A8338C">
        <w:rPr>
          <w:b/>
        </w:rPr>
        <w:t>Red Cross Red Crescent’s Vulnerability and Capacity Assessment (VCA) methodology</w:t>
      </w:r>
      <w:r>
        <w:t xml:space="preserve">, a mapping process designed to increase communities’ awareness of risks and hazards and to </w:t>
      </w:r>
      <w:r w:rsidR="009C517E">
        <w:t>help r</w:t>
      </w:r>
      <w:r>
        <w:t>educe vulnerability and increase cap</w:t>
      </w:r>
      <w:r w:rsidR="009C517E">
        <w:t>acity before</w:t>
      </w:r>
      <w:r>
        <w:t xml:space="preserve"> disaster </w:t>
      </w:r>
      <w:r w:rsidR="009C517E">
        <w:t>strikes</w:t>
      </w:r>
      <w:r>
        <w:t>.</w:t>
      </w:r>
      <w:r>
        <w:rPr>
          <w:rStyle w:val="FootnoteReference"/>
        </w:rPr>
        <w:footnoteReference w:id="19"/>
      </w:r>
      <w:r>
        <w:t>.</w:t>
      </w:r>
    </w:p>
    <w:p w:rsidR="009C517E" w:rsidRDefault="009C517E" w:rsidP="009C517E">
      <w:pPr>
        <w:pStyle w:val="ListParagraph"/>
        <w:ind w:left="360"/>
      </w:pPr>
    </w:p>
    <w:p w:rsidR="00AD6CC4" w:rsidRDefault="00AD6CC4" w:rsidP="009C517E">
      <w:pPr>
        <w:pStyle w:val="ListParagraph"/>
        <w:numPr>
          <w:ilvl w:val="0"/>
          <w:numId w:val="23"/>
        </w:numPr>
      </w:pPr>
      <w:r>
        <w:t>Traditional customs and practice and indigenous knowledge is key to the IFRC’s community-</w:t>
      </w:r>
      <w:proofErr w:type="spellStart"/>
      <w:r>
        <w:t>centred</w:t>
      </w:r>
      <w:proofErr w:type="spellEnd"/>
      <w:r>
        <w:t xml:space="preserve"> approach to resilience and is referenced in the ‘</w:t>
      </w:r>
      <w:r w:rsidRPr="009C517E">
        <w:rPr>
          <w:b/>
        </w:rPr>
        <w:t>IFRC Framework for Community Resilience’</w:t>
      </w:r>
      <w:r>
        <w:rPr>
          <w:rStyle w:val="FootnoteReference"/>
          <w:b/>
        </w:rPr>
        <w:footnoteReference w:id="20"/>
      </w:r>
      <w:r>
        <w:t>.</w:t>
      </w:r>
    </w:p>
    <w:p w:rsidR="00394645" w:rsidRDefault="008013E9" w:rsidP="009C517E">
      <w:pPr>
        <w:pStyle w:val="Heading1"/>
      </w:pPr>
      <w:r w:rsidRPr="008013E9">
        <w:br w:type="page"/>
      </w:r>
      <w:r w:rsidR="00F35B4E">
        <w:lastRenderedPageBreak/>
        <w:t>Worldwide</w:t>
      </w:r>
      <w:r w:rsidR="009C517E">
        <w:t xml:space="preserve"> facts and figures</w:t>
      </w:r>
      <w:r w:rsidR="00F35B4E">
        <w:t xml:space="preserve"> on c</w:t>
      </w:r>
      <w:r w:rsidR="00394645">
        <w:t xml:space="preserve">limate change </w:t>
      </w:r>
    </w:p>
    <w:p w:rsidR="00AB5362" w:rsidRDefault="00AB5362" w:rsidP="001F41E6">
      <w:pPr>
        <w:pStyle w:val="ListParagraph"/>
        <w:numPr>
          <w:ilvl w:val="0"/>
          <w:numId w:val="14"/>
        </w:numPr>
        <w:spacing w:after="120"/>
        <w:ind w:left="357" w:hanging="357"/>
      </w:pPr>
      <w:r>
        <w:t>In 2014, 87% of disasters were climate-related.  This continues a 20-year long trend of climate-related disasters outnumbering geophysical disasters in the ten most disaster-affected countries in the wor</w:t>
      </w:r>
      <w:r w:rsidR="00AF33B1">
        <w:t>ld</w:t>
      </w:r>
      <w:r w:rsidR="001F41E6">
        <w:rPr>
          <w:rStyle w:val="FootnoteReference"/>
        </w:rPr>
        <w:footnoteReference w:id="21"/>
      </w:r>
      <w:r w:rsidR="00AF33B1">
        <w:t xml:space="preserve">. </w:t>
      </w:r>
    </w:p>
    <w:p w:rsidR="00732A4B" w:rsidRDefault="00732A4B" w:rsidP="00732A4B">
      <w:pPr>
        <w:pStyle w:val="ListParagraph"/>
        <w:spacing w:after="120"/>
        <w:ind w:left="357"/>
      </w:pPr>
    </w:p>
    <w:p w:rsidR="00F35B4E" w:rsidRDefault="00066B54" w:rsidP="009C517E">
      <w:pPr>
        <w:pStyle w:val="ListParagraph"/>
        <w:numPr>
          <w:ilvl w:val="0"/>
          <w:numId w:val="14"/>
        </w:numPr>
      </w:pPr>
      <w:r>
        <w:t xml:space="preserve">Throughout the 21st century, climate-change impacts are projected to slow down economic growth, make poverty reduction more difficult, further erode food security, and prolong existing and </w:t>
      </w:r>
      <w:r w:rsidR="001F41E6">
        <w:t>create new poverty traps</w:t>
      </w:r>
      <w:r w:rsidR="001F41E6">
        <w:rPr>
          <w:rStyle w:val="FootnoteReference"/>
        </w:rPr>
        <w:footnoteReference w:id="22"/>
      </w:r>
      <w:r w:rsidR="001F41E6">
        <w:t>.</w:t>
      </w:r>
      <w:r w:rsidR="00732A4B" w:rsidRPr="00732A4B">
        <w:t xml:space="preserve"> </w:t>
      </w:r>
      <w:r w:rsidR="00427466">
        <w:t xml:space="preserve">It is also </w:t>
      </w:r>
      <w:r w:rsidR="00732A4B">
        <w:t xml:space="preserve">projected to increase </w:t>
      </w:r>
      <w:r w:rsidR="00427466">
        <w:t xml:space="preserve">the </w:t>
      </w:r>
      <w:r w:rsidR="00732A4B">
        <w:t>displacement of people</w:t>
      </w:r>
      <w:r w:rsidR="00732A4B">
        <w:rPr>
          <w:rStyle w:val="FootnoteReference"/>
        </w:rPr>
        <w:footnoteReference w:id="23"/>
      </w:r>
      <w:r w:rsidR="00732A4B">
        <w:t>.</w:t>
      </w:r>
    </w:p>
    <w:p w:rsidR="009C517E" w:rsidRDefault="009C517E" w:rsidP="009C517E"/>
    <w:p w:rsidR="00066B54" w:rsidRPr="00F35B4E" w:rsidRDefault="00F35B4E" w:rsidP="00910BA6">
      <w:pPr>
        <w:pStyle w:val="Heading1"/>
      </w:pPr>
      <w:r w:rsidRPr="00F35B4E">
        <w:t>Regional facts and figures on climate change</w:t>
      </w:r>
    </w:p>
    <w:p w:rsidR="00732A4B" w:rsidRDefault="005430F6" w:rsidP="00DF7F3B">
      <w:pPr>
        <w:pStyle w:val="ListParagraph"/>
        <w:numPr>
          <w:ilvl w:val="0"/>
          <w:numId w:val="14"/>
        </w:numPr>
      </w:pPr>
      <w:r>
        <w:t>Coastal cities with large and increasing populations and assets are exposed to climate-change-related risks, including increased tropical storm intensity, long-term sea-level rise, and sudden-onset flooding. Bangkok, Jakarta, Ho Chi Minh City, and Manila stand out as being particularly vulne</w:t>
      </w:r>
      <w:r w:rsidR="00F35B4E">
        <w:t>rable to climate-driven impacts</w:t>
      </w:r>
      <w:r w:rsidR="001F41E6">
        <w:rPr>
          <w:rStyle w:val="FootnoteReference"/>
        </w:rPr>
        <w:footnoteReference w:id="24"/>
      </w:r>
      <w:r w:rsidR="001F41E6">
        <w:t>.</w:t>
      </w:r>
      <w:r w:rsidR="00D729AD">
        <w:t xml:space="preserve"> </w:t>
      </w:r>
    </w:p>
    <w:p w:rsidR="009C517E" w:rsidRDefault="009C517E" w:rsidP="009C517E">
      <w:pPr>
        <w:pStyle w:val="ListParagraph"/>
        <w:ind w:left="360"/>
      </w:pPr>
    </w:p>
    <w:p w:rsidR="009C517E" w:rsidRDefault="00633749" w:rsidP="009C517E">
      <w:pPr>
        <w:pStyle w:val="ListParagraph"/>
        <w:numPr>
          <w:ilvl w:val="0"/>
          <w:numId w:val="14"/>
        </w:numPr>
      </w:pPr>
      <w:r>
        <w:t>Climate change projections for sea-level rise and tropical cyclone intensity, along with land subsidence caused by human activities, are expected to expose Mekong Delta populations to heightened risks, including excess flooding, saltwater intrusion, and coastal erosion. The three river deltas of the Mekong, Irrawaddy, and Chao Phraya, all with</w:t>
      </w:r>
      <w:r w:rsidR="00066B54">
        <w:t xml:space="preserve"> significant land areas below 2</w:t>
      </w:r>
      <w:r>
        <w:t>m above sea level, are highly th</w:t>
      </w:r>
      <w:r w:rsidR="001F41E6">
        <w:t>reatened by these risk factors</w:t>
      </w:r>
      <w:r w:rsidR="001F41E6">
        <w:rPr>
          <w:rStyle w:val="FootnoteReference"/>
        </w:rPr>
        <w:footnoteReference w:id="25"/>
      </w:r>
      <w:r w:rsidR="001F41E6">
        <w:t>.</w:t>
      </w:r>
    </w:p>
    <w:p w:rsidR="009C517E" w:rsidRDefault="009C517E" w:rsidP="009C517E">
      <w:pPr>
        <w:pStyle w:val="ListParagraph"/>
        <w:ind w:left="360"/>
      </w:pPr>
    </w:p>
    <w:p w:rsidR="00136602" w:rsidRDefault="00136602" w:rsidP="00A8338C">
      <w:pPr>
        <w:pStyle w:val="ListParagraph"/>
        <w:numPr>
          <w:ilvl w:val="0"/>
          <w:numId w:val="14"/>
        </w:numPr>
      </w:pPr>
      <w:r>
        <w:t xml:space="preserve">Due to projected sea-level rise, </w:t>
      </w:r>
      <w:r w:rsidR="00A8338C">
        <w:t xml:space="preserve">approximately one million </w:t>
      </w:r>
      <w:r>
        <w:t>people along the coasts of South and Southeast Asia will likely be</w:t>
      </w:r>
      <w:r w:rsidR="00A8338C">
        <w:t xml:space="preserve"> at risk from flooding</w:t>
      </w:r>
      <w:r w:rsidR="00A8338C">
        <w:rPr>
          <w:rStyle w:val="FootnoteReference"/>
        </w:rPr>
        <w:footnoteReference w:id="26"/>
      </w:r>
      <w:r w:rsidR="00A8338C">
        <w:t>.</w:t>
      </w:r>
    </w:p>
    <w:p w:rsidR="009C517E" w:rsidRDefault="009C517E" w:rsidP="009C517E">
      <w:pPr>
        <w:pStyle w:val="ListParagraph"/>
        <w:ind w:left="360"/>
      </w:pPr>
    </w:p>
    <w:p w:rsidR="005F72EA" w:rsidRDefault="00394645" w:rsidP="00DF7F3B">
      <w:pPr>
        <w:pStyle w:val="ListParagraph"/>
        <w:numPr>
          <w:ilvl w:val="0"/>
          <w:numId w:val="19"/>
        </w:numPr>
      </w:pPr>
      <w:r w:rsidRPr="00394645">
        <w:t xml:space="preserve">ASEAN </w:t>
      </w:r>
      <w:r w:rsidR="005B5B43">
        <w:t>recognizes</w:t>
      </w:r>
      <w:r w:rsidR="00B82240">
        <w:t xml:space="preserve"> </w:t>
      </w:r>
      <w:r w:rsidRPr="00394645">
        <w:t>Southeast Asia is highly</w:t>
      </w:r>
      <w:r w:rsidR="009B0246">
        <w:t xml:space="preserve"> vulnerable to climate change</w:t>
      </w:r>
      <w:r w:rsidR="005B5B43">
        <w:t>,</w:t>
      </w:r>
      <w:r w:rsidR="009B0246">
        <w:t xml:space="preserve"> due to the fact</w:t>
      </w:r>
      <w:r w:rsidR="00732A4B">
        <w:t xml:space="preserve"> that</w:t>
      </w:r>
      <w:r w:rsidRPr="00394645">
        <w:t xml:space="preserve"> a large proportion of the population and economic activity is concentrated along coastlines; the region is heavily reliant on agriculture for livelihoods; there is a high dependence on natural resources and forestry; and the level of extreme poverty remains high</w:t>
      </w:r>
      <w:r>
        <w:t xml:space="preserve">… </w:t>
      </w:r>
      <w:r w:rsidR="005B5B43">
        <w:t>ASEAN also recognizes that h</w:t>
      </w:r>
      <w:r w:rsidRPr="00394645">
        <w:t>eat waves, droughts, floods, and tropical cyclones have also bec</w:t>
      </w:r>
      <w:r w:rsidR="00A8338C">
        <w:t>ome more intense and frequent</w:t>
      </w:r>
      <w:r w:rsidR="00A8338C">
        <w:rPr>
          <w:rStyle w:val="FootnoteReference"/>
        </w:rPr>
        <w:footnoteReference w:id="27"/>
      </w:r>
      <w:r w:rsidR="00A8338C">
        <w:t>.</w:t>
      </w:r>
    </w:p>
    <w:p w:rsidR="009C517E" w:rsidRDefault="009C517E" w:rsidP="009C517E">
      <w:pPr>
        <w:pStyle w:val="ListParagraph"/>
        <w:ind w:left="360"/>
      </w:pPr>
    </w:p>
    <w:p w:rsidR="005F72EA" w:rsidRDefault="00041503" w:rsidP="00EB3473">
      <w:pPr>
        <w:pStyle w:val="ListParagraph"/>
        <w:numPr>
          <w:ilvl w:val="0"/>
          <w:numId w:val="19"/>
        </w:numPr>
      </w:pPr>
      <w:r>
        <w:t>ASEAN countries have been taking action</w:t>
      </w:r>
      <w:r w:rsidRPr="00041503">
        <w:t xml:space="preserve"> to address climate change</w:t>
      </w:r>
      <w:r w:rsidR="005B46C7">
        <w:t xml:space="preserve"> including measures such as emissions reductions targets and </w:t>
      </w:r>
      <w:r w:rsidR="005B46C7" w:rsidRPr="005B46C7">
        <w:t>mainstreaming climate c</w:t>
      </w:r>
      <w:r w:rsidR="00A8338C">
        <w:t>hange adaptation in development</w:t>
      </w:r>
      <w:r w:rsidR="00A8338C">
        <w:rPr>
          <w:rStyle w:val="FootnoteReference"/>
        </w:rPr>
        <w:footnoteReference w:id="28"/>
      </w:r>
      <w:r w:rsidR="00A8338C">
        <w:t>.</w:t>
      </w:r>
    </w:p>
    <w:p w:rsidR="009C517E" w:rsidRDefault="009C517E" w:rsidP="009C517E">
      <w:pPr>
        <w:pStyle w:val="ListParagraph"/>
        <w:ind w:left="360"/>
      </w:pPr>
    </w:p>
    <w:p w:rsidR="009E5C50" w:rsidRPr="00394645" w:rsidRDefault="00B82240" w:rsidP="009C517E">
      <w:pPr>
        <w:pStyle w:val="ListParagraph"/>
        <w:numPr>
          <w:ilvl w:val="0"/>
          <w:numId w:val="19"/>
        </w:numPr>
      </w:pPr>
      <w:r>
        <w:t>In April this year, at the 26th ASEAN Summit in Kuala Lumpur, Malaysia, ASE</w:t>
      </w:r>
      <w:r w:rsidR="00910BA6">
        <w:t xml:space="preserve">AN members signed a declaration </w:t>
      </w:r>
      <w:r>
        <w:t>committing to economic, social, cultural, physical and environmental measures that will reduce vulnerability to dis</w:t>
      </w:r>
      <w:r w:rsidR="00A8338C">
        <w:t>aster and climate-related risks</w:t>
      </w:r>
      <w:r w:rsidR="00A8338C">
        <w:rPr>
          <w:rStyle w:val="FootnoteReference"/>
        </w:rPr>
        <w:footnoteReference w:id="29"/>
      </w:r>
    </w:p>
    <w:sectPr w:rsidR="009E5C50" w:rsidRPr="00394645" w:rsidSect="003C5BE1">
      <w:pgSz w:w="11900" w:h="16840"/>
      <w:pgMar w:top="567" w:right="1134" w:bottom="1418"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51" w:rsidRDefault="00DD1251">
      <w:r>
        <w:separator/>
      </w:r>
    </w:p>
    <w:p w:rsidR="00DD1251" w:rsidRDefault="00DD1251"/>
    <w:p w:rsidR="00DD1251" w:rsidRDefault="00DD1251"/>
  </w:endnote>
  <w:endnote w:type="continuationSeparator" w:id="0">
    <w:p w:rsidR="00DD1251" w:rsidRDefault="00DD1251">
      <w:r>
        <w:continuationSeparator/>
      </w:r>
    </w:p>
    <w:p w:rsidR="00DD1251" w:rsidRDefault="00DD1251"/>
    <w:p w:rsidR="00DD1251" w:rsidRDefault="00DD1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ion Pro Med Ital">
    <w:altName w:val="MV Boli"/>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71" w:rsidRDefault="007A7371">
    <w:pPr>
      <w:pStyle w:val="Footer"/>
    </w:pPr>
    <w:r>
      <w:rPr>
        <w:noProof/>
        <w:lang w:val="en-GB" w:eastAsia="en-GB"/>
      </w:rPr>
      <w:drawing>
        <wp:anchor distT="0" distB="0" distL="114300" distR="114300" simplePos="0" relativeHeight="251657216" behindDoc="0" locked="0" layoutInCell="1" allowOverlap="1" wp14:anchorId="2B6F7E60" wp14:editId="6F4FE27E">
          <wp:simplePos x="0" y="0"/>
          <wp:positionH relativeFrom="column">
            <wp:posOffset>-1075055</wp:posOffset>
          </wp:positionH>
          <wp:positionV relativeFrom="paragraph">
            <wp:posOffset>-532130</wp:posOffset>
          </wp:positionV>
          <wp:extent cx="7424420" cy="1150620"/>
          <wp:effectExtent l="25400" t="0" r="0" b="0"/>
          <wp:wrapTight wrapText="bothSides">
            <wp:wrapPolygon edited="0">
              <wp:start x="-74" y="0"/>
              <wp:lineTo x="-74" y="21457"/>
              <wp:lineTo x="21578" y="21457"/>
              <wp:lineTo x="21578" y="0"/>
              <wp:lineTo x="-74" y="0"/>
            </wp:wrapPolygon>
          </wp:wrapTight>
          <wp:docPr id="2" name="Picture 2"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371" w:rsidRDefault="007A7371">
    <w:pPr>
      <w:pStyle w:val="Footer"/>
    </w:pPr>
    <w:r>
      <w:rPr>
        <w:noProof/>
        <w:lang w:val="en-GB" w:eastAsia="en-GB"/>
      </w:rPr>
      <w:drawing>
        <wp:anchor distT="0" distB="0" distL="114300" distR="114300" simplePos="0" relativeHeight="251658240" behindDoc="0" locked="0" layoutInCell="1" allowOverlap="1" wp14:anchorId="66B0EFC3" wp14:editId="2CEAEC93">
          <wp:simplePos x="0" y="0"/>
          <wp:positionH relativeFrom="column">
            <wp:posOffset>-1074420</wp:posOffset>
          </wp:positionH>
          <wp:positionV relativeFrom="paragraph">
            <wp:posOffset>-531495</wp:posOffset>
          </wp:positionV>
          <wp:extent cx="7425055" cy="1151255"/>
          <wp:effectExtent l="25400" t="0" r="0" b="0"/>
          <wp:wrapTight wrapText="bothSides">
            <wp:wrapPolygon edited="0">
              <wp:start x="-74" y="0"/>
              <wp:lineTo x="-74" y="21445"/>
              <wp:lineTo x="21576" y="21445"/>
              <wp:lineTo x="21576" y="0"/>
              <wp:lineTo x="-74" y="0"/>
            </wp:wrapPolygon>
          </wp:wrapTight>
          <wp:docPr id="3"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51" w:rsidRDefault="00DD1251">
      <w:r>
        <w:separator/>
      </w:r>
    </w:p>
    <w:p w:rsidR="00DD1251" w:rsidRDefault="00DD1251"/>
    <w:p w:rsidR="00DD1251" w:rsidRDefault="00DD1251"/>
  </w:footnote>
  <w:footnote w:type="continuationSeparator" w:id="0">
    <w:p w:rsidR="00DD1251" w:rsidRDefault="00DD1251">
      <w:r>
        <w:continuationSeparator/>
      </w:r>
    </w:p>
    <w:p w:rsidR="00DD1251" w:rsidRDefault="00DD1251"/>
    <w:p w:rsidR="00DD1251" w:rsidRDefault="00DD1251"/>
  </w:footnote>
  <w:footnote w:id="1">
    <w:p w:rsidR="00557D88" w:rsidRPr="00557D88" w:rsidRDefault="00557D88">
      <w:pPr>
        <w:pStyle w:val="FootnoteText"/>
        <w:rPr>
          <w:sz w:val="16"/>
          <w:szCs w:val="16"/>
        </w:rPr>
      </w:pPr>
      <w:r w:rsidRPr="00557D88">
        <w:rPr>
          <w:rStyle w:val="FootnoteReference"/>
          <w:sz w:val="16"/>
          <w:szCs w:val="16"/>
        </w:rPr>
        <w:footnoteRef/>
      </w:r>
      <w:r w:rsidRPr="00557D88">
        <w:rPr>
          <w:sz w:val="16"/>
          <w:szCs w:val="16"/>
        </w:rPr>
        <w:t xml:space="preserve"> All stats reference in </w:t>
      </w:r>
      <w:r w:rsidRPr="00557D88">
        <w:rPr>
          <w:bCs/>
          <w:sz w:val="16"/>
          <w:szCs w:val="16"/>
        </w:rPr>
        <w:t>World Disaster Report 2015, source: Centre for Research on the Epidemiology of Disasters</w:t>
      </w:r>
    </w:p>
  </w:footnote>
  <w:footnote w:id="2">
    <w:p w:rsidR="003B063A" w:rsidRPr="00557D88" w:rsidRDefault="003B063A" w:rsidP="001F41E6">
      <w:pPr>
        <w:pStyle w:val="FootnoteText"/>
        <w:rPr>
          <w:sz w:val="16"/>
          <w:szCs w:val="16"/>
        </w:rPr>
      </w:pPr>
      <w:r w:rsidRPr="00557D88">
        <w:rPr>
          <w:rStyle w:val="FootnoteReference"/>
          <w:sz w:val="16"/>
          <w:szCs w:val="16"/>
        </w:rPr>
        <w:footnoteRef/>
      </w:r>
      <w:r w:rsidRPr="00557D88">
        <w:rPr>
          <w:sz w:val="16"/>
          <w:szCs w:val="16"/>
        </w:rPr>
        <w:t xml:space="preserve"> UNESCAP, p. 23 Statistical Yearbook for Asia and the Pacific 2014, </w:t>
      </w:r>
      <w:hyperlink r:id="rId1" w:history="1">
        <w:r w:rsidRPr="00557D88">
          <w:rPr>
            <w:rStyle w:val="Hyperlink"/>
            <w:sz w:val="16"/>
            <w:szCs w:val="16"/>
          </w:rPr>
          <w:t>http://www.unescap.org/sites/default/files/23-Natural-disaster-SYB2014.pdf</w:t>
        </w:r>
      </w:hyperlink>
    </w:p>
  </w:footnote>
  <w:footnote w:id="3">
    <w:p w:rsidR="003B063A" w:rsidRPr="00557D88" w:rsidRDefault="003B063A" w:rsidP="001F41E6">
      <w:pPr>
        <w:pStyle w:val="FootnoteText"/>
        <w:rPr>
          <w:sz w:val="16"/>
          <w:szCs w:val="16"/>
        </w:rPr>
      </w:pPr>
      <w:r w:rsidRPr="00557D88">
        <w:rPr>
          <w:rStyle w:val="FootnoteReference"/>
          <w:sz w:val="16"/>
          <w:szCs w:val="16"/>
        </w:rPr>
        <w:footnoteRef/>
      </w:r>
      <w:r w:rsidRPr="00557D88">
        <w:rPr>
          <w:sz w:val="16"/>
          <w:szCs w:val="16"/>
        </w:rPr>
        <w:t xml:space="preserve"> UNESCAP, p. 23 Statistical Yearbook for Asia and the Pacific 2014, </w:t>
      </w:r>
      <w:hyperlink r:id="rId2" w:history="1">
        <w:r w:rsidRPr="00557D88">
          <w:rPr>
            <w:rStyle w:val="Hyperlink"/>
            <w:sz w:val="16"/>
            <w:szCs w:val="16"/>
          </w:rPr>
          <w:t>http://www.unescap.org/sites/default/files/23-Natural-disaster-SYB2014.pdf</w:t>
        </w:r>
      </w:hyperlink>
    </w:p>
  </w:footnote>
  <w:footnote w:id="4">
    <w:p w:rsidR="00004B3C" w:rsidRPr="00557D88" w:rsidRDefault="00004B3C" w:rsidP="001F41E6">
      <w:pPr>
        <w:pStyle w:val="FootnoteText"/>
        <w:rPr>
          <w:sz w:val="16"/>
          <w:szCs w:val="16"/>
        </w:rPr>
      </w:pPr>
      <w:r w:rsidRPr="00557D88">
        <w:rPr>
          <w:rStyle w:val="FootnoteReference"/>
          <w:sz w:val="16"/>
          <w:szCs w:val="16"/>
        </w:rPr>
        <w:footnoteRef/>
      </w:r>
      <w:r w:rsidRPr="00557D88">
        <w:rPr>
          <w:sz w:val="16"/>
          <w:szCs w:val="16"/>
        </w:rPr>
        <w:t xml:space="preserve"> UNESCAP, p. 23 Statistical Yearbook for Asia and the Pacific 2014, </w:t>
      </w:r>
      <w:hyperlink r:id="rId3" w:history="1">
        <w:r w:rsidRPr="00557D88">
          <w:rPr>
            <w:rStyle w:val="Hyperlink"/>
            <w:sz w:val="16"/>
            <w:szCs w:val="16"/>
          </w:rPr>
          <w:t>http://www.unescap.org/sites/default/files/23-Natural-disaster-SYB2014.pdf</w:t>
        </w:r>
      </w:hyperlink>
    </w:p>
  </w:footnote>
  <w:footnote w:id="5">
    <w:p w:rsidR="00004B3C" w:rsidRPr="00557D88" w:rsidRDefault="00004B3C" w:rsidP="001F41E6">
      <w:pPr>
        <w:pStyle w:val="FootnoteText"/>
        <w:rPr>
          <w:sz w:val="16"/>
          <w:szCs w:val="16"/>
        </w:rPr>
      </w:pPr>
      <w:r w:rsidRPr="00557D88">
        <w:rPr>
          <w:rStyle w:val="FootnoteReference"/>
          <w:sz w:val="16"/>
          <w:szCs w:val="16"/>
        </w:rPr>
        <w:footnoteRef/>
      </w:r>
      <w:r w:rsidRPr="00557D88">
        <w:rPr>
          <w:sz w:val="16"/>
          <w:szCs w:val="16"/>
        </w:rPr>
        <w:t xml:space="preserve"> UNESCAP, Statistical Yearbook for Asia and the Pacific 2014 </w:t>
      </w:r>
      <w:hyperlink r:id="rId4" w:anchor=".VgkUdmSqqkp" w:history="1">
        <w:r w:rsidRPr="00557D88">
          <w:rPr>
            <w:rStyle w:val="Hyperlink"/>
            <w:sz w:val="16"/>
            <w:szCs w:val="16"/>
          </w:rPr>
          <w:t>http://www.un.org/apps/news/story.asp?NewsID=49642#.VgkUdmSqqkp</w:t>
        </w:r>
      </w:hyperlink>
    </w:p>
  </w:footnote>
  <w:footnote w:id="6">
    <w:p w:rsidR="00F56A00" w:rsidRPr="00557D88" w:rsidRDefault="00F56A00" w:rsidP="001F41E6">
      <w:pPr>
        <w:spacing w:before="0"/>
        <w:rPr>
          <w:sz w:val="16"/>
          <w:szCs w:val="16"/>
        </w:rPr>
      </w:pPr>
      <w:r w:rsidRPr="00557D88">
        <w:rPr>
          <w:rStyle w:val="FootnoteReference"/>
          <w:sz w:val="16"/>
          <w:szCs w:val="16"/>
        </w:rPr>
        <w:footnoteRef/>
      </w:r>
      <w:r w:rsidRPr="00557D88">
        <w:rPr>
          <w:sz w:val="16"/>
          <w:szCs w:val="16"/>
        </w:rPr>
        <w:t xml:space="preserve"> </w:t>
      </w:r>
      <w:hyperlink r:id="rId5" w:history="1">
        <w:r w:rsidRPr="00557D88">
          <w:rPr>
            <w:rStyle w:val="Hyperlink"/>
            <w:sz w:val="16"/>
            <w:szCs w:val="16"/>
          </w:rPr>
          <w:t>http://www.asean.org/news/asean-secretariat-news/item/asean-strengthens-its-collective-response-in-disasters</w:t>
        </w:r>
      </w:hyperlink>
      <w:r w:rsidRPr="00557D88">
        <w:rPr>
          <w:sz w:val="16"/>
          <w:szCs w:val="16"/>
        </w:rPr>
        <w:t xml:space="preserve"> </w:t>
      </w:r>
    </w:p>
    <w:p w:rsidR="00F56A00" w:rsidRDefault="00F56A00">
      <w:pPr>
        <w:pStyle w:val="FootnoteText"/>
      </w:pPr>
    </w:p>
  </w:footnote>
  <w:footnote w:id="7">
    <w:p w:rsidR="00F56A00" w:rsidRPr="001F41E6" w:rsidRDefault="00F56A00" w:rsidP="001F41E6">
      <w:pPr>
        <w:spacing w:before="0"/>
        <w:rPr>
          <w:sz w:val="16"/>
          <w:szCs w:val="16"/>
        </w:rPr>
      </w:pPr>
      <w:r w:rsidRPr="001F41E6">
        <w:rPr>
          <w:rStyle w:val="FootnoteReference"/>
          <w:sz w:val="16"/>
          <w:szCs w:val="16"/>
        </w:rPr>
        <w:footnoteRef/>
      </w:r>
      <w:r w:rsidRPr="001F41E6">
        <w:rPr>
          <w:sz w:val="16"/>
          <w:szCs w:val="16"/>
        </w:rPr>
        <w:t xml:space="preserve"> IFRC Briefing Paper: Disaster Risk Reduction – referenced in IDDR 2014 Facts and Figures</w:t>
      </w:r>
    </w:p>
  </w:footnote>
  <w:footnote w:id="8">
    <w:p w:rsidR="00F56A00" w:rsidRPr="001F41E6" w:rsidRDefault="00F56A00" w:rsidP="001F41E6">
      <w:pPr>
        <w:spacing w:before="0"/>
        <w:rPr>
          <w:sz w:val="16"/>
          <w:szCs w:val="16"/>
        </w:rPr>
      </w:pPr>
      <w:r w:rsidRPr="001F41E6">
        <w:rPr>
          <w:rStyle w:val="FootnoteReference"/>
          <w:sz w:val="16"/>
          <w:szCs w:val="16"/>
        </w:rPr>
        <w:footnoteRef/>
      </w:r>
      <w:r w:rsidRPr="001F41E6">
        <w:rPr>
          <w:sz w:val="16"/>
          <w:szCs w:val="16"/>
        </w:rPr>
        <w:t xml:space="preserve"> IFRC’s 2014 Disaster Risk Reduction Mapping </w:t>
      </w:r>
      <w:hyperlink r:id="rId6" w:history="1">
        <w:r w:rsidRPr="001F41E6">
          <w:rPr>
            <w:rStyle w:val="Hyperlink"/>
            <w:sz w:val="16"/>
            <w:szCs w:val="16"/>
          </w:rPr>
          <w:t>https://www.ifrc.org/Global/Documents/Secretariat/201505/1292500-DRR%20Mapping%202015-EN_LR.pdf</w:t>
        </w:r>
      </w:hyperlink>
    </w:p>
  </w:footnote>
  <w:footnote w:id="9">
    <w:p w:rsidR="00F56A00" w:rsidRPr="001F41E6" w:rsidRDefault="00F56A00" w:rsidP="001F41E6">
      <w:pPr>
        <w:pStyle w:val="FootnoteText"/>
        <w:rPr>
          <w:sz w:val="16"/>
          <w:szCs w:val="16"/>
        </w:rPr>
      </w:pPr>
      <w:r w:rsidRPr="001F41E6">
        <w:rPr>
          <w:rStyle w:val="FootnoteReference"/>
          <w:sz w:val="16"/>
          <w:szCs w:val="16"/>
        </w:rPr>
        <w:footnoteRef/>
      </w:r>
      <w:r w:rsidRPr="001F41E6">
        <w:rPr>
          <w:sz w:val="16"/>
          <w:szCs w:val="16"/>
        </w:rPr>
        <w:t xml:space="preserve"> IFRC’s 2014 Disaster Risk Reduction Mapping </w:t>
      </w:r>
      <w:hyperlink r:id="rId7" w:history="1">
        <w:r w:rsidRPr="001F41E6">
          <w:rPr>
            <w:rStyle w:val="Hyperlink"/>
            <w:sz w:val="16"/>
            <w:szCs w:val="16"/>
          </w:rPr>
          <w:t>https://www.ifrc.org/Global/Documents/Secretariat/201505/1292500-DRR%20Mapping%202015-EN_LR.pdf</w:t>
        </w:r>
      </w:hyperlink>
    </w:p>
  </w:footnote>
  <w:footnote w:id="10">
    <w:p w:rsidR="00F56A00" w:rsidRPr="001F41E6" w:rsidRDefault="00F56A00" w:rsidP="001F41E6">
      <w:pPr>
        <w:spacing w:before="0"/>
        <w:rPr>
          <w:sz w:val="16"/>
          <w:szCs w:val="16"/>
        </w:rPr>
      </w:pPr>
      <w:r w:rsidRPr="001F41E6">
        <w:rPr>
          <w:rStyle w:val="FootnoteReference"/>
          <w:sz w:val="16"/>
          <w:szCs w:val="16"/>
        </w:rPr>
        <w:footnoteRef/>
      </w:r>
      <w:r w:rsidRPr="001F41E6">
        <w:rPr>
          <w:sz w:val="16"/>
          <w:szCs w:val="16"/>
        </w:rPr>
        <w:t xml:space="preserve"> IFRC’s 2014 Disaster Risk Reduction Mapping </w:t>
      </w:r>
      <w:hyperlink r:id="rId8" w:history="1">
        <w:r w:rsidRPr="001F41E6">
          <w:rPr>
            <w:rStyle w:val="Hyperlink"/>
            <w:sz w:val="16"/>
            <w:szCs w:val="16"/>
          </w:rPr>
          <w:t>https://www.ifrc.org/Global/Documents/Secretariat/201505/1292500-DRR%20Mapping%202015-EN_LR.pdf</w:t>
        </w:r>
      </w:hyperlink>
    </w:p>
  </w:footnote>
  <w:footnote w:id="11">
    <w:p w:rsidR="00F56A00" w:rsidRPr="001F41E6" w:rsidRDefault="00F56A00" w:rsidP="001F41E6">
      <w:pPr>
        <w:pStyle w:val="FootnoteText"/>
        <w:rPr>
          <w:sz w:val="16"/>
          <w:szCs w:val="16"/>
        </w:rPr>
      </w:pPr>
      <w:r w:rsidRPr="001F41E6">
        <w:rPr>
          <w:rStyle w:val="FootnoteReference"/>
          <w:sz w:val="16"/>
          <w:szCs w:val="16"/>
        </w:rPr>
        <w:footnoteRef/>
      </w:r>
      <w:r w:rsidRPr="001F41E6">
        <w:rPr>
          <w:sz w:val="16"/>
          <w:szCs w:val="16"/>
        </w:rPr>
        <w:t xml:space="preserve"> IFRC’s 2014 Disaster Risk Reduction Mapping </w:t>
      </w:r>
      <w:hyperlink r:id="rId9" w:history="1">
        <w:r w:rsidRPr="001F41E6">
          <w:rPr>
            <w:rStyle w:val="Hyperlink"/>
            <w:sz w:val="16"/>
            <w:szCs w:val="16"/>
          </w:rPr>
          <w:t>https://www.ifrc.org/Global/Documents/Secretariat/201505/1292500-DRR%20Mapping%202015-EN_LR.pdf</w:t>
        </w:r>
      </w:hyperlink>
    </w:p>
  </w:footnote>
  <w:footnote w:id="12">
    <w:p w:rsidR="001F41E6" w:rsidRDefault="001F41E6" w:rsidP="001F41E6">
      <w:pPr>
        <w:pStyle w:val="FootnoteText"/>
      </w:pPr>
      <w:r w:rsidRPr="001F41E6">
        <w:rPr>
          <w:rStyle w:val="FootnoteReference"/>
          <w:sz w:val="16"/>
          <w:szCs w:val="16"/>
        </w:rPr>
        <w:footnoteRef/>
      </w:r>
      <w:r w:rsidRPr="001F41E6">
        <w:rPr>
          <w:sz w:val="16"/>
          <w:szCs w:val="16"/>
        </w:rPr>
        <w:t xml:space="preserve"> IFRC’s 2014 Disaster Risk Reduction Mapping </w:t>
      </w:r>
      <w:hyperlink r:id="rId10" w:history="1">
        <w:r w:rsidRPr="001F41E6">
          <w:rPr>
            <w:rStyle w:val="Hyperlink"/>
            <w:sz w:val="16"/>
            <w:szCs w:val="16"/>
          </w:rPr>
          <w:t>https://www.ifrc.org/Global/Documents/Secretariat/201505/1292500-DRR%20Mapping%202015-EN_LR.pdf</w:t>
        </w:r>
      </w:hyperlink>
    </w:p>
  </w:footnote>
  <w:footnote w:id="13">
    <w:p w:rsidR="001F41E6" w:rsidRPr="001F41E6" w:rsidRDefault="001F41E6">
      <w:pPr>
        <w:pStyle w:val="FootnoteText"/>
        <w:rPr>
          <w:sz w:val="16"/>
          <w:szCs w:val="16"/>
        </w:rPr>
      </w:pPr>
      <w:r w:rsidRPr="001F41E6">
        <w:rPr>
          <w:rStyle w:val="FootnoteReference"/>
          <w:sz w:val="16"/>
          <w:szCs w:val="16"/>
        </w:rPr>
        <w:footnoteRef/>
      </w:r>
      <w:r w:rsidRPr="001F41E6">
        <w:rPr>
          <w:sz w:val="16"/>
          <w:szCs w:val="16"/>
        </w:rPr>
        <w:t xml:space="preserve"> See further </w:t>
      </w:r>
      <w:hyperlink r:id="rId11" w:history="1">
        <w:r w:rsidRPr="001F41E6">
          <w:rPr>
            <w:rStyle w:val="Hyperlink"/>
            <w:sz w:val="16"/>
            <w:szCs w:val="16"/>
          </w:rPr>
          <w:t>http://www.unisdr.org/we/coordinate/sendai-framework</w:t>
        </w:r>
      </w:hyperlink>
    </w:p>
  </w:footnote>
  <w:footnote w:id="14">
    <w:p w:rsidR="001F41E6" w:rsidRPr="001F41E6" w:rsidRDefault="001F41E6">
      <w:pPr>
        <w:pStyle w:val="FootnoteText"/>
        <w:rPr>
          <w:sz w:val="16"/>
          <w:szCs w:val="16"/>
        </w:rPr>
      </w:pPr>
      <w:r w:rsidRPr="001F41E6">
        <w:rPr>
          <w:rStyle w:val="FootnoteReference"/>
          <w:sz w:val="16"/>
          <w:szCs w:val="16"/>
        </w:rPr>
        <w:footnoteRef/>
      </w:r>
      <w:r w:rsidRPr="001F41E6">
        <w:rPr>
          <w:sz w:val="16"/>
          <w:szCs w:val="16"/>
        </w:rPr>
        <w:t xml:space="preserve"> See further </w:t>
      </w:r>
      <w:hyperlink r:id="rId12" w:anchor="sthash.eqAMZ9dg.dpuf" w:history="1">
        <w:r w:rsidRPr="001F41E6">
          <w:rPr>
            <w:rStyle w:val="Hyperlink"/>
            <w:sz w:val="16"/>
            <w:szCs w:val="16"/>
          </w:rPr>
          <w:t>http://www.ifrc.org/en/news-and-media/meetings-and-events/world-conference-on-disaster-risk-reduction-sendai-japan/#sthash.eqAMZ9dg.dpuf</w:t>
        </w:r>
      </w:hyperlink>
    </w:p>
  </w:footnote>
  <w:footnote w:id="15">
    <w:p w:rsidR="00A7359D" w:rsidRPr="00A7359D" w:rsidRDefault="00A7359D">
      <w:pPr>
        <w:pStyle w:val="FootnoteText"/>
        <w:rPr>
          <w:sz w:val="16"/>
          <w:szCs w:val="16"/>
        </w:rPr>
      </w:pPr>
      <w:r w:rsidRPr="00A7359D">
        <w:rPr>
          <w:rStyle w:val="FootnoteReference"/>
          <w:sz w:val="16"/>
          <w:szCs w:val="16"/>
        </w:rPr>
        <w:footnoteRef/>
      </w:r>
      <w:r w:rsidRPr="00A7359D">
        <w:rPr>
          <w:sz w:val="16"/>
          <w:szCs w:val="16"/>
        </w:rPr>
        <w:t>‘Phnom Penh Leadership Outcomes’, 12th Annual South-East Asia Red Cross Red Crescent Leadership Meeting, 2015</w:t>
      </w:r>
    </w:p>
  </w:footnote>
  <w:footnote w:id="16">
    <w:p w:rsidR="001F41E6" w:rsidRPr="001F41E6" w:rsidRDefault="001F41E6">
      <w:pPr>
        <w:pStyle w:val="FootnoteText"/>
        <w:rPr>
          <w:sz w:val="16"/>
          <w:szCs w:val="16"/>
        </w:rPr>
      </w:pPr>
      <w:r w:rsidRPr="001F41E6">
        <w:rPr>
          <w:rStyle w:val="FootnoteReference"/>
          <w:sz w:val="16"/>
          <w:szCs w:val="16"/>
        </w:rPr>
        <w:footnoteRef/>
      </w:r>
      <w:r w:rsidRPr="001F41E6">
        <w:rPr>
          <w:sz w:val="16"/>
          <w:szCs w:val="16"/>
        </w:rPr>
        <w:t xml:space="preserve"> See further </w:t>
      </w:r>
      <w:hyperlink r:id="rId13" w:anchor="sthash.242xXYuV.dpuf" w:history="1">
        <w:r w:rsidRPr="001F41E6">
          <w:rPr>
            <w:rStyle w:val="Hyperlink"/>
            <w:sz w:val="16"/>
            <w:szCs w:val="16"/>
          </w:rPr>
          <w:t>http://www.ifrc.org/en/news-and-media/news-stories/asia-pacific/thailand/bangkok-red-cross-and-red-crescent-impact-at-the-6th-amcdrr-66232/#sthash.242xXYuV.dpuf</w:t>
        </w:r>
      </w:hyperlink>
      <w:r w:rsidRPr="001F41E6">
        <w:rPr>
          <w:sz w:val="16"/>
          <w:szCs w:val="16"/>
        </w:rPr>
        <w:t xml:space="preserve">  </w:t>
      </w:r>
    </w:p>
  </w:footnote>
  <w:footnote w:id="17">
    <w:p w:rsidR="001F41E6" w:rsidRDefault="001F41E6">
      <w:pPr>
        <w:pStyle w:val="FootnoteText"/>
      </w:pPr>
      <w:r w:rsidRPr="001F41E6">
        <w:rPr>
          <w:rStyle w:val="FootnoteReference"/>
          <w:sz w:val="16"/>
          <w:szCs w:val="16"/>
        </w:rPr>
        <w:footnoteRef/>
      </w:r>
      <w:r w:rsidRPr="001F41E6">
        <w:rPr>
          <w:sz w:val="16"/>
          <w:szCs w:val="16"/>
        </w:rPr>
        <w:t xml:space="preserve"> </w:t>
      </w:r>
      <w:hyperlink r:id="rId14" w:history="1">
        <w:r w:rsidRPr="001F41E6">
          <w:rPr>
            <w:rStyle w:val="Hyperlink"/>
            <w:sz w:val="16"/>
            <w:szCs w:val="16"/>
          </w:rPr>
          <w:t>https://www.ifrc.org/FedNet/Our%20IFRC/Zones/AP/Events/2014/AMCDRR/Zero%20Draft-%20Bangkok%20Declaration-6AMCDRR-revised%2022June.docx</w:t>
        </w:r>
      </w:hyperlink>
    </w:p>
  </w:footnote>
  <w:footnote w:id="18">
    <w:p w:rsidR="00AD6CC4" w:rsidRPr="00755BC7" w:rsidRDefault="00AD6CC4" w:rsidP="00AD6CC4">
      <w:pPr>
        <w:spacing w:before="0"/>
        <w:rPr>
          <w:sz w:val="16"/>
          <w:szCs w:val="16"/>
        </w:rPr>
      </w:pPr>
      <w:r w:rsidRPr="00755BC7">
        <w:rPr>
          <w:rStyle w:val="FootnoteReference"/>
          <w:sz w:val="16"/>
          <w:szCs w:val="16"/>
        </w:rPr>
        <w:footnoteRef/>
      </w:r>
      <w:r w:rsidRPr="00755BC7">
        <w:rPr>
          <w:sz w:val="16"/>
          <w:szCs w:val="16"/>
        </w:rPr>
        <w:t xml:space="preserve"> Page 5, RCRC Climate Centre’s ‘Minimum Standards for Local Climate Smart Disaster Risk Reduction’ </w:t>
      </w:r>
      <w:hyperlink r:id="rId15" w:history="1">
        <w:r w:rsidRPr="00755BC7">
          <w:rPr>
            <w:rStyle w:val="Hyperlink"/>
            <w:sz w:val="16"/>
            <w:szCs w:val="16"/>
          </w:rPr>
          <w:t>http://www.climatecentre.org/downloads/files/Minimum%20Standards/Minimum%20Standards%20for%20climate-smart%20DRR%20%202.0%20NOV%202013.pdf</w:t>
        </w:r>
      </w:hyperlink>
    </w:p>
  </w:footnote>
  <w:footnote w:id="19">
    <w:p w:rsidR="00AD6CC4" w:rsidRPr="00755BC7" w:rsidRDefault="00AD6CC4" w:rsidP="00AD6CC4">
      <w:pPr>
        <w:pStyle w:val="FootnoteText"/>
        <w:rPr>
          <w:sz w:val="16"/>
          <w:szCs w:val="16"/>
        </w:rPr>
      </w:pPr>
      <w:r w:rsidRPr="00755BC7">
        <w:rPr>
          <w:rStyle w:val="FootnoteReference"/>
          <w:sz w:val="16"/>
          <w:szCs w:val="16"/>
        </w:rPr>
        <w:footnoteRef/>
      </w:r>
      <w:r w:rsidRPr="00755BC7">
        <w:rPr>
          <w:sz w:val="16"/>
          <w:szCs w:val="16"/>
        </w:rPr>
        <w:t xml:space="preserve"> Page 14, ‘How to do a VCA: A practical step-by-step guide for Red Cross Red Crescent staff and volunteers’ 2007 </w:t>
      </w:r>
      <w:hyperlink r:id="rId16" w:history="1">
        <w:r w:rsidRPr="00755BC7">
          <w:rPr>
            <w:rStyle w:val="Hyperlink"/>
            <w:sz w:val="16"/>
            <w:szCs w:val="16"/>
          </w:rPr>
          <w:t>https://www.ifrc.org/Global/Publications/disasters/vca/how-to-do-vca-en.pdf</w:t>
        </w:r>
      </w:hyperlink>
    </w:p>
  </w:footnote>
  <w:footnote w:id="20">
    <w:p w:rsidR="00AD6CC4" w:rsidRPr="00755BC7" w:rsidRDefault="00AD6CC4" w:rsidP="00AD6CC4">
      <w:pPr>
        <w:spacing w:before="0"/>
        <w:rPr>
          <w:sz w:val="16"/>
          <w:szCs w:val="16"/>
        </w:rPr>
      </w:pPr>
      <w:r w:rsidRPr="00755BC7">
        <w:rPr>
          <w:rStyle w:val="FootnoteReference"/>
          <w:sz w:val="16"/>
          <w:szCs w:val="16"/>
        </w:rPr>
        <w:footnoteRef/>
      </w:r>
      <w:r w:rsidRPr="00755BC7">
        <w:rPr>
          <w:sz w:val="16"/>
          <w:szCs w:val="16"/>
        </w:rPr>
        <w:t xml:space="preserve"> Page 13, ‘IFRC Framework for Community Resilience’ </w:t>
      </w:r>
      <w:hyperlink r:id="rId17" w:history="1">
        <w:r w:rsidRPr="00755BC7">
          <w:rPr>
            <w:rStyle w:val="Hyperlink"/>
            <w:sz w:val="16"/>
            <w:szCs w:val="16"/>
          </w:rPr>
          <w:t>https://www.ifrc.org/Global/Documents/Secretariat/201501/1284000-Framework%20for%20Community%20Resilience-EN-LR.pdf</w:t>
        </w:r>
      </w:hyperlink>
    </w:p>
    <w:p w:rsidR="00AD6CC4" w:rsidRDefault="00AD6CC4" w:rsidP="00AD6CC4">
      <w:pPr>
        <w:pStyle w:val="FootnoteText"/>
      </w:pPr>
    </w:p>
  </w:footnote>
  <w:footnote w:id="21">
    <w:p w:rsidR="001F41E6" w:rsidRPr="001F41E6" w:rsidRDefault="001F41E6">
      <w:pPr>
        <w:pStyle w:val="FootnoteText"/>
        <w:rPr>
          <w:sz w:val="16"/>
          <w:szCs w:val="16"/>
        </w:rPr>
      </w:pPr>
      <w:r w:rsidRPr="001F41E6">
        <w:rPr>
          <w:rStyle w:val="FootnoteReference"/>
          <w:sz w:val="16"/>
          <w:szCs w:val="16"/>
        </w:rPr>
        <w:footnoteRef/>
      </w:r>
      <w:r w:rsidRPr="001F41E6">
        <w:rPr>
          <w:sz w:val="16"/>
          <w:szCs w:val="16"/>
        </w:rPr>
        <w:t xml:space="preserve"> World Disaster Report 2015 </w:t>
      </w:r>
      <w:hyperlink r:id="rId18" w:history="1">
        <w:r w:rsidRPr="001F41E6">
          <w:rPr>
            <w:rStyle w:val="Hyperlink"/>
            <w:sz w:val="16"/>
            <w:szCs w:val="16"/>
          </w:rPr>
          <w:t>http://ifrc-media.org/interactive/wp-content/uploads/2015/09/1293600-World-Disasters-Report-2015_en.pdf</w:t>
        </w:r>
      </w:hyperlink>
    </w:p>
  </w:footnote>
  <w:footnote w:id="22">
    <w:p w:rsidR="001F41E6" w:rsidRPr="001F41E6" w:rsidRDefault="001F41E6" w:rsidP="001F41E6">
      <w:pPr>
        <w:pStyle w:val="FootnoteText"/>
        <w:rPr>
          <w:sz w:val="16"/>
          <w:szCs w:val="16"/>
        </w:rPr>
      </w:pPr>
      <w:r w:rsidRPr="001F41E6">
        <w:rPr>
          <w:rStyle w:val="FootnoteReference"/>
          <w:sz w:val="16"/>
          <w:szCs w:val="16"/>
        </w:rPr>
        <w:footnoteRef/>
      </w:r>
      <w:r w:rsidRPr="001F41E6">
        <w:rPr>
          <w:sz w:val="16"/>
          <w:szCs w:val="16"/>
        </w:rPr>
        <w:t xml:space="preserve"> Intergovernmental Panel on Climate Change, Fifth Assessment Report, November 2014  </w:t>
      </w:r>
      <w:hyperlink r:id="rId19" w:history="1">
        <w:r w:rsidRPr="001F41E6">
          <w:rPr>
            <w:rStyle w:val="Hyperlink"/>
            <w:sz w:val="16"/>
            <w:szCs w:val="16"/>
          </w:rPr>
          <w:t>http://www.ipcc.ch/report/ar5/wg2/docs/WGIIAR5_SPM_Top_Level_Findings.pdf</w:t>
        </w:r>
      </w:hyperlink>
    </w:p>
  </w:footnote>
  <w:footnote w:id="23">
    <w:p w:rsidR="00732A4B" w:rsidRPr="001F41E6" w:rsidRDefault="00732A4B" w:rsidP="00732A4B">
      <w:pPr>
        <w:pStyle w:val="FootnoteText"/>
        <w:rPr>
          <w:sz w:val="16"/>
          <w:szCs w:val="16"/>
        </w:rPr>
      </w:pPr>
      <w:r w:rsidRPr="001F41E6">
        <w:rPr>
          <w:rStyle w:val="FootnoteReference"/>
          <w:sz w:val="16"/>
          <w:szCs w:val="16"/>
        </w:rPr>
        <w:footnoteRef/>
      </w:r>
      <w:r w:rsidRPr="001F41E6">
        <w:rPr>
          <w:sz w:val="16"/>
          <w:szCs w:val="16"/>
        </w:rPr>
        <w:t xml:space="preserve"> Intergovernmental Panel on Climate Change, Fifth Assessment Report, November 2014   </w:t>
      </w:r>
      <w:hyperlink r:id="rId20" w:history="1">
        <w:r w:rsidRPr="001F41E6">
          <w:rPr>
            <w:rStyle w:val="Hyperlink"/>
            <w:sz w:val="16"/>
            <w:szCs w:val="16"/>
          </w:rPr>
          <w:t>http://www.ipcc.ch/report/ar5/wg2/docs/WGIIAR5_SPM_Top_Level_Findings.pdf</w:t>
        </w:r>
      </w:hyperlink>
    </w:p>
  </w:footnote>
  <w:footnote w:id="24">
    <w:p w:rsidR="001F41E6" w:rsidRPr="001F41E6" w:rsidRDefault="001F41E6" w:rsidP="001F41E6">
      <w:pPr>
        <w:pStyle w:val="FootnoteText"/>
        <w:rPr>
          <w:sz w:val="16"/>
          <w:szCs w:val="16"/>
        </w:rPr>
      </w:pPr>
      <w:r w:rsidRPr="001F41E6">
        <w:rPr>
          <w:rStyle w:val="FootnoteReference"/>
          <w:sz w:val="16"/>
          <w:szCs w:val="16"/>
        </w:rPr>
        <w:footnoteRef/>
      </w:r>
      <w:r w:rsidRPr="001F41E6">
        <w:rPr>
          <w:sz w:val="16"/>
          <w:szCs w:val="16"/>
        </w:rPr>
        <w:t xml:space="preserve"> World Bank Report, ‘Turn Down the Heat’, 2013, p. 67, </w:t>
      </w:r>
      <w:hyperlink r:id="rId21" w:history="1">
        <w:r w:rsidRPr="001F41E6">
          <w:rPr>
            <w:rStyle w:val="Hyperlink"/>
            <w:sz w:val="16"/>
            <w:szCs w:val="16"/>
          </w:rPr>
          <w:t>http://www.worldbank.org/content/dam/Worldbank/document/Full_Report_Vol_2_Turn_Down_The_Heat_%20Climate_Extremes_Regional_Impacts_Case_for_Resilience_Print%20version_FINAL.pdf</w:t>
        </w:r>
      </w:hyperlink>
    </w:p>
  </w:footnote>
  <w:footnote w:id="25">
    <w:p w:rsidR="001F41E6" w:rsidRDefault="001F41E6">
      <w:pPr>
        <w:pStyle w:val="FootnoteText"/>
      </w:pPr>
      <w:r w:rsidRPr="001F41E6">
        <w:rPr>
          <w:rStyle w:val="FootnoteReference"/>
          <w:sz w:val="16"/>
          <w:szCs w:val="16"/>
        </w:rPr>
        <w:footnoteRef/>
      </w:r>
      <w:r w:rsidRPr="001F41E6">
        <w:rPr>
          <w:sz w:val="16"/>
          <w:szCs w:val="16"/>
        </w:rPr>
        <w:t xml:space="preserve"> World Bank Report, ‘Turn Down the Heat’, 2013, p. 67, </w:t>
      </w:r>
      <w:hyperlink r:id="rId22" w:history="1">
        <w:r w:rsidRPr="001F41E6">
          <w:rPr>
            <w:rStyle w:val="Hyperlink"/>
            <w:sz w:val="16"/>
            <w:szCs w:val="16"/>
          </w:rPr>
          <w:t>http://www.worldbank.org/content/dam/Worldbank/document/Full_Report_Vol_2_Turn_Down_The_Heat_%20Climate_Extremes_Regional_Impacts_Case_for_Resilience_Print%20version_FINAL.pdf</w:t>
        </w:r>
      </w:hyperlink>
    </w:p>
  </w:footnote>
  <w:footnote w:id="26">
    <w:p w:rsidR="00A8338C" w:rsidRPr="00A8338C" w:rsidRDefault="00A8338C">
      <w:pPr>
        <w:pStyle w:val="FootnoteText"/>
        <w:rPr>
          <w:sz w:val="16"/>
          <w:szCs w:val="16"/>
        </w:rPr>
      </w:pPr>
      <w:r w:rsidRPr="00A8338C">
        <w:rPr>
          <w:rStyle w:val="FootnoteReference"/>
          <w:sz w:val="16"/>
          <w:szCs w:val="16"/>
        </w:rPr>
        <w:footnoteRef/>
      </w:r>
      <w:r w:rsidRPr="00A8338C">
        <w:rPr>
          <w:sz w:val="16"/>
          <w:szCs w:val="16"/>
        </w:rPr>
        <w:t xml:space="preserve"> Intergovernmental Panel on Climate Change, Fifth Assessment Report, November 2014, Chapter 24 </w:t>
      </w:r>
      <w:hyperlink r:id="rId23" w:history="1">
        <w:r w:rsidRPr="00A8338C">
          <w:rPr>
            <w:rStyle w:val="Hyperlink"/>
            <w:sz w:val="16"/>
            <w:szCs w:val="16"/>
          </w:rPr>
          <w:t>https://www.ipcc.ch/pdf/assessment-report/ar5/wg2/drafts/fd/WGIIAR5-Chap24_FGDall.pdf</w:t>
        </w:r>
      </w:hyperlink>
    </w:p>
  </w:footnote>
  <w:footnote w:id="27">
    <w:p w:rsidR="00A8338C" w:rsidRPr="00A8338C" w:rsidRDefault="00A8338C" w:rsidP="00A8338C">
      <w:pPr>
        <w:pStyle w:val="FootnoteText"/>
        <w:rPr>
          <w:sz w:val="16"/>
          <w:szCs w:val="16"/>
        </w:rPr>
      </w:pPr>
      <w:r w:rsidRPr="00A8338C">
        <w:rPr>
          <w:rStyle w:val="FootnoteReference"/>
          <w:sz w:val="16"/>
          <w:szCs w:val="16"/>
        </w:rPr>
        <w:footnoteRef/>
      </w:r>
      <w:r w:rsidRPr="00A8338C">
        <w:rPr>
          <w:sz w:val="16"/>
          <w:szCs w:val="16"/>
        </w:rPr>
        <w:t xml:space="preserve"> ASEAN Working Group on Climate Change </w:t>
      </w:r>
      <w:hyperlink r:id="rId24" w:history="1">
        <w:r w:rsidRPr="00A8338C">
          <w:rPr>
            <w:rStyle w:val="Hyperlink"/>
            <w:sz w:val="16"/>
            <w:szCs w:val="16"/>
          </w:rPr>
          <w:t>http://environment.asean.org/asean-working-group-on-climate-change/</w:t>
        </w:r>
      </w:hyperlink>
    </w:p>
  </w:footnote>
  <w:footnote w:id="28">
    <w:p w:rsidR="00A8338C" w:rsidRPr="00A8338C" w:rsidRDefault="00A8338C">
      <w:pPr>
        <w:pStyle w:val="FootnoteText"/>
        <w:rPr>
          <w:sz w:val="16"/>
          <w:szCs w:val="16"/>
        </w:rPr>
      </w:pPr>
      <w:r w:rsidRPr="00A8338C">
        <w:rPr>
          <w:rStyle w:val="FootnoteReference"/>
          <w:sz w:val="16"/>
          <w:szCs w:val="16"/>
        </w:rPr>
        <w:footnoteRef/>
      </w:r>
      <w:r w:rsidRPr="00A8338C">
        <w:rPr>
          <w:sz w:val="16"/>
          <w:szCs w:val="16"/>
        </w:rPr>
        <w:t xml:space="preserve"> </w:t>
      </w:r>
      <w:hyperlink r:id="rId25" w:history="1">
        <w:r w:rsidRPr="00A8338C">
          <w:rPr>
            <w:rStyle w:val="Hyperlink"/>
            <w:sz w:val="16"/>
            <w:szCs w:val="16"/>
          </w:rPr>
          <w:t>http://environment.asean.org/asean-working-group-on-climate-change/</w:t>
        </w:r>
      </w:hyperlink>
    </w:p>
  </w:footnote>
  <w:footnote w:id="29">
    <w:p w:rsidR="00A8338C" w:rsidRDefault="00A8338C">
      <w:pPr>
        <w:pStyle w:val="FootnoteText"/>
      </w:pPr>
      <w:r w:rsidRPr="00A8338C">
        <w:rPr>
          <w:rStyle w:val="FootnoteReference"/>
          <w:sz w:val="16"/>
          <w:szCs w:val="16"/>
        </w:rPr>
        <w:footnoteRef/>
      </w:r>
      <w:r w:rsidRPr="00A8338C">
        <w:rPr>
          <w:sz w:val="16"/>
          <w:szCs w:val="16"/>
        </w:rPr>
        <w:t xml:space="preserve"> </w:t>
      </w:r>
      <w:r w:rsidR="00910BA6" w:rsidRPr="00910BA6">
        <w:rPr>
          <w:sz w:val="16"/>
          <w:szCs w:val="16"/>
        </w:rPr>
        <w:t xml:space="preserve">Declaration on </w:t>
      </w:r>
      <w:proofErr w:type="spellStart"/>
      <w:r w:rsidR="00910BA6" w:rsidRPr="00910BA6">
        <w:rPr>
          <w:sz w:val="16"/>
          <w:szCs w:val="16"/>
        </w:rPr>
        <w:t>Institutionalising</w:t>
      </w:r>
      <w:proofErr w:type="spellEnd"/>
      <w:r w:rsidR="00910BA6" w:rsidRPr="00910BA6">
        <w:rPr>
          <w:sz w:val="16"/>
          <w:szCs w:val="16"/>
        </w:rPr>
        <w:t xml:space="preserve"> the Resilience of ASEAN and its Communities and Peoples to Disasters and Climate Change. </w:t>
      </w:r>
      <w:hyperlink r:id="rId26" w:history="1">
        <w:r w:rsidRPr="00A8338C">
          <w:rPr>
            <w:rStyle w:val="Hyperlink"/>
            <w:sz w:val="16"/>
            <w:szCs w:val="16"/>
          </w:rPr>
          <w:t>http://climate-l.iisd.org/news/asean-summit-adopts-declaration-on-climate-change-and-resilience/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B8368524"/>
    <w:name w:val="WW8Num6"/>
    <w:lvl w:ilvl="0">
      <w:start w:val="1"/>
      <w:numFmt w:val="bullet"/>
      <w:lvlText w:val=""/>
      <w:lvlJc w:val="left"/>
      <w:pPr>
        <w:tabs>
          <w:tab w:val="num" w:pos="0"/>
        </w:tabs>
        <w:ind w:left="360" w:hanging="360"/>
      </w:pPr>
      <w:rPr>
        <w:rFonts w:ascii="Wingdings" w:hAnsi="Wingdings" w:hint="default"/>
        <w:color w:val="FF0000"/>
        <w:sz w:val="24"/>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C93BB5"/>
    <w:multiLevelType w:val="hybridMultilevel"/>
    <w:tmpl w:val="BC5C9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541D6"/>
    <w:multiLevelType w:val="hybridMultilevel"/>
    <w:tmpl w:val="0D86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54167"/>
    <w:multiLevelType w:val="hybridMultilevel"/>
    <w:tmpl w:val="8292B350"/>
    <w:lvl w:ilvl="0" w:tplc="13E81B74">
      <w:numFmt w:val="bullet"/>
      <w:lvlText w:val="-"/>
      <w:lvlJc w:val="left"/>
      <w:pPr>
        <w:ind w:left="1440" w:hanging="360"/>
      </w:pPr>
      <w:rPr>
        <w:rFonts w:ascii="Arial" w:eastAsia="Cambria" w:hAnsi="Arial" w:cs="Tahoma"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612B5A"/>
    <w:multiLevelType w:val="hybridMultilevel"/>
    <w:tmpl w:val="CE145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AB3D6E"/>
    <w:multiLevelType w:val="hybridMultilevel"/>
    <w:tmpl w:val="2CC4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5108C"/>
    <w:multiLevelType w:val="hybridMultilevel"/>
    <w:tmpl w:val="E7BE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F07C4"/>
    <w:multiLevelType w:val="hybridMultilevel"/>
    <w:tmpl w:val="307C9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D23F2"/>
    <w:multiLevelType w:val="hybridMultilevel"/>
    <w:tmpl w:val="5B4272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094B1C"/>
    <w:multiLevelType w:val="hybridMultilevel"/>
    <w:tmpl w:val="8BC0BCF0"/>
    <w:lvl w:ilvl="0" w:tplc="13E81B74">
      <w:numFmt w:val="bullet"/>
      <w:lvlText w:val="-"/>
      <w:lvlJc w:val="left"/>
      <w:pPr>
        <w:ind w:left="720" w:hanging="360"/>
      </w:pPr>
      <w:rPr>
        <w:rFonts w:ascii="Arial" w:eastAsia="Cambria" w:hAnsi="Arial" w:cs="Tahoma"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D1902"/>
    <w:multiLevelType w:val="hybridMultilevel"/>
    <w:tmpl w:val="2D022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B67B8"/>
    <w:multiLevelType w:val="hybridMultilevel"/>
    <w:tmpl w:val="833E5C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3C41F1"/>
    <w:multiLevelType w:val="hybridMultilevel"/>
    <w:tmpl w:val="C0503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962E40"/>
    <w:multiLevelType w:val="hybridMultilevel"/>
    <w:tmpl w:val="36DAC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FA7C15"/>
    <w:multiLevelType w:val="hybridMultilevel"/>
    <w:tmpl w:val="51D0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680950"/>
    <w:multiLevelType w:val="hybridMultilevel"/>
    <w:tmpl w:val="E9E80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B7D3DD2"/>
    <w:multiLevelType w:val="hybridMultilevel"/>
    <w:tmpl w:val="C5502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BE2FD7"/>
    <w:multiLevelType w:val="hybridMultilevel"/>
    <w:tmpl w:val="ED12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94E1C"/>
    <w:multiLevelType w:val="hybridMultilevel"/>
    <w:tmpl w:val="93B0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E43D33"/>
    <w:multiLevelType w:val="hybridMultilevel"/>
    <w:tmpl w:val="1DBE6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1DF5345"/>
    <w:multiLevelType w:val="hybridMultilevel"/>
    <w:tmpl w:val="A098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8902FC"/>
    <w:multiLevelType w:val="hybridMultilevel"/>
    <w:tmpl w:val="32A2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6824FF"/>
    <w:multiLevelType w:val="hybridMultilevel"/>
    <w:tmpl w:val="29CC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6"/>
  </w:num>
  <w:num w:numId="4">
    <w:abstractNumId w:val="2"/>
  </w:num>
  <w:num w:numId="5">
    <w:abstractNumId w:val="15"/>
  </w:num>
  <w:num w:numId="6">
    <w:abstractNumId w:val="3"/>
  </w:num>
  <w:num w:numId="7">
    <w:abstractNumId w:val="19"/>
  </w:num>
  <w:num w:numId="8">
    <w:abstractNumId w:val="23"/>
  </w:num>
  <w:num w:numId="9">
    <w:abstractNumId w:val="10"/>
  </w:num>
  <w:num w:numId="10">
    <w:abstractNumId w:val="22"/>
  </w:num>
  <w:num w:numId="11">
    <w:abstractNumId w:val="18"/>
  </w:num>
  <w:num w:numId="12">
    <w:abstractNumId w:val="5"/>
  </w:num>
  <w:num w:numId="13">
    <w:abstractNumId w:val="13"/>
  </w:num>
  <w:num w:numId="14">
    <w:abstractNumId w:val="16"/>
  </w:num>
  <w:num w:numId="15">
    <w:abstractNumId w:val="12"/>
  </w:num>
  <w:num w:numId="16">
    <w:abstractNumId w:val="9"/>
  </w:num>
  <w:num w:numId="17">
    <w:abstractNumId w:val="21"/>
  </w:num>
  <w:num w:numId="18">
    <w:abstractNumId w:val="11"/>
  </w:num>
  <w:num w:numId="19">
    <w:abstractNumId w:val="1"/>
  </w:num>
  <w:num w:numId="20">
    <w:abstractNumId w:val="7"/>
  </w:num>
  <w:num w:numId="21">
    <w:abstractNumId w:val="4"/>
  </w:num>
  <w:num w:numId="22">
    <w:abstractNumId w:val="24"/>
  </w:num>
  <w:num w:numId="23">
    <w:abstractNumId w:val="17"/>
  </w:num>
  <w:num w:numId="2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proofState w:spelling="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70"/>
    <w:rsid w:val="00004B3C"/>
    <w:rsid w:val="00024EF7"/>
    <w:rsid w:val="00031504"/>
    <w:rsid w:val="00032847"/>
    <w:rsid w:val="00041503"/>
    <w:rsid w:val="00066B54"/>
    <w:rsid w:val="00085933"/>
    <w:rsid w:val="00090D10"/>
    <w:rsid w:val="000B0F39"/>
    <w:rsid w:val="000B6E3B"/>
    <w:rsid w:val="000C396F"/>
    <w:rsid w:val="000D3570"/>
    <w:rsid w:val="000D55DD"/>
    <w:rsid w:val="000D7D0D"/>
    <w:rsid w:val="000E2444"/>
    <w:rsid w:val="000E4F5C"/>
    <w:rsid w:val="000F6F07"/>
    <w:rsid w:val="001027CC"/>
    <w:rsid w:val="00102F65"/>
    <w:rsid w:val="00102F99"/>
    <w:rsid w:val="00136602"/>
    <w:rsid w:val="00163203"/>
    <w:rsid w:val="00167A67"/>
    <w:rsid w:val="00170010"/>
    <w:rsid w:val="0017007E"/>
    <w:rsid w:val="00186D8C"/>
    <w:rsid w:val="00187257"/>
    <w:rsid w:val="001A377D"/>
    <w:rsid w:val="001A4B61"/>
    <w:rsid w:val="001C2AB4"/>
    <w:rsid w:val="001C44A1"/>
    <w:rsid w:val="001D0ABE"/>
    <w:rsid w:val="001F18D4"/>
    <w:rsid w:val="001F41E6"/>
    <w:rsid w:val="0020495C"/>
    <w:rsid w:val="00211EFF"/>
    <w:rsid w:val="00213F96"/>
    <w:rsid w:val="00227205"/>
    <w:rsid w:val="00231EAC"/>
    <w:rsid w:val="00237BE6"/>
    <w:rsid w:val="002435D8"/>
    <w:rsid w:val="00245C37"/>
    <w:rsid w:val="00285015"/>
    <w:rsid w:val="002942E3"/>
    <w:rsid w:val="002A058A"/>
    <w:rsid w:val="002A2432"/>
    <w:rsid w:val="002A250D"/>
    <w:rsid w:val="002A3D5F"/>
    <w:rsid w:val="002B2984"/>
    <w:rsid w:val="002C065F"/>
    <w:rsid w:val="002D7851"/>
    <w:rsid w:val="002E77D8"/>
    <w:rsid w:val="002F6FD9"/>
    <w:rsid w:val="0031434B"/>
    <w:rsid w:val="003256D3"/>
    <w:rsid w:val="00332B99"/>
    <w:rsid w:val="00351CFD"/>
    <w:rsid w:val="00363F6B"/>
    <w:rsid w:val="00366D66"/>
    <w:rsid w:val="00375DA3"/>
    <w:rsid w:val="00392F4E"/>
    <w:rsid w:val="00394645"/>
    <w:rsid w:val="003B063A"/>
    <w:rsid w:val="003B1DDC"/>
    <w:rsid w:val="003B225C"/>
    <w:rsid w:val="003C5BE1"/>
    <w:rsid w:val="003D4815"/>
    <w:rsid w:val="003E7B29"/>
    <w:rsid w:val="00404773"/>
    <w:rsid w:val="00410AF6"/>
    <w:rsid w:val="00427466"/>
    <w:rsid w:val="00432C6B"/>
    <w:rsid w:val="004506F4"/>
    <w:rsid w:val="004625DA"/>
    <w:rsid w:val="00463498"/>
    <w:rsid w:val="00464D0F"/>
    <w:rsid w:val="00484688"/>
    <w:rsid w:val="004961ED"/>
    <w:rsid w:val="004A450D"/>
    <w:rsid w:val="004A690A"/>
    <w:rsid w:val="004B00FA"/>
    <w:rsid w:val="004C2AA7"/>
    <w:rsid w:val="004C4B00"/>
    <w:rsid w:val="004C6AC0"/>
    <w:rsid w:val="004D24B4"/>
    <w:rsid w:val="004D3E37"/>
    <w:rsid w:val="004D40A6"/>
    <w:rsid w:val="004E47B0"/>
    <w:rsid w:val="00504E82"/>
    <w:rsid w:val="0050783A"/>
    <w:rsid w:val="00510A8A"/>
    <w:rsid w:val="005127B0"/>
    <w:rsid w:val="00531AED"/>
    <w:rsid w:val="005430F6"/>
    <w:rsid w:val="005516C2"/>
    <w:rsid w:val="00557D88"/>
    <w:rsid w:val="00596C4A"/>
    <w:rsid w:val="005B46C7"/>
    <w:rsid w:val="005B5B43"/>
    <w:rsid w:val="005B6F3A"/>
    <w:rsid w:val="005C698B"/>
    <w:rsid w:val="005D6496"/>
    <w:rsid w:val="005F177D"/>
    <w:rsid w:val="005F5DF0"/>
    <w:rsid w:val="005F72EA"/>
    <w:rsid w:val="005F74E5"/>
    <w:rsid w:val="006136CB"/>
    <w:rsid w:val="0063072C"/>
    <w:rsid w:val="00633749"/>
    <w:rsid w:val="00635E47"/>
    <w:rsid w:val="0065261F"/>
    <w:rsid w:val="006630B2"/>
    <w:rsid w:val="006734E3"/>
    <w:rsid w:val="006822DF"/>
    <w:rsid w:val="006961D9"/>
    <w:rsid w:val="006A03AF"/>
    <w:rsid w:val="006A76E2"/>
    <w:rsid w:val="006B7908"/>
    <w:rsid w:val="006E5BE6"/>
    <w:rsid w:val="006F75CF"/>
    <w:rsid w:val="0073151D"/>
    <w:rsid w:val="00732A4B"/>
    <w:rsid w:val="00742881"/>
    <w:rsid w:val="00755BC7"/>
    <w:rsid w:val="00782F24"/>
    <w:rsid w:val="0079693B"/>
    <w:rsid w:val="007A4408"/>
    <w:rsid w:val="007A7371"/>
    <w:rsid w:val="007B60F4"/>
    <w:rsid w:val="007E7440"/>
    <w:rsid w:val="007F03DB"/>
    <w:rsid w:val="007F2633"/>
    <w:rsid w:val="0080118D"/>
    <w:rsid w:val="008013E9"/>
    <w:rsid w:val="008020AE"/>
    <w:rsid w:val="00806C58"/>
    <w:rsid w:val="008112EE"/>
    <w:rsid w:val="00847AE9"/>
    <w:rsid w:val="00854FCF"/>
    <w:rsid w:val="00863513"/>
    <w:rsid w:val="008718D8"/>
    <w:rsid w:val="008761EC"/>
    <w:rsid w:val="00895245"/>
    <w:rsid w:val="0089580C"/>
    <w:rsid w:val="008A7483"/>
    <w:rsid w:val="008B0EAC"/>
    <w:rsid w:val="008B60CB"/>
    <w:rsid w:val="008F095A"/>
    <w:rsid w:val="00907D39"/>
    <w:rsid w:val="0091064A"/>
    <w:rsid w:val="00910BA6"/>
    <w:rsid w:val="00911C7D"/>
    <w:rsid w:val="009166EA"/>
    <w:rsid w:val="00920374"/>
    <w:rsid w:val="009264C3"/>
    <w:rsid w:val="009374BD"/>
    <w:rsid w:val="00963AD8"/>
    <w:rsid w:val="009908E5"/>
    <w:rsid w:val="009943FB"/>
    <w:rsid w:val="009B0246"/>
    <w:rsid w:val="009C07D7"/>
    <w:rsid w:val="009C517E"/>
    <w:rsid w:val="009D04C0"/>
    <w:rsid w:val="009D2BE0"/>
    <w:rsid w:val="009D553F"/>
    <w:rsid w:val="009E1758"/>
    <w:rsid w:val="009E515D"/>
    <w:rsid w:val="009E5C50"/>
    <w:rsid w:val="009E6B28"/>
    <w:rsid w:val="00A01373"/>
    <w:rsid w:val="00A256E2"/>
    <w:rsid w:val="00A2731F"/>
    <w:rsid w:val="00A325AE"/>
    <w:rsid w:val="00A34511"/>
    <w:rsid w:val="00A35C26"/>
    <w:rsid w:val="00A54E8F"/>
    <w:rsid w:val="00A5504F"/>
    <w:rsid w:val="00A60938"/>
    <w:rsid w:val="00A60CBB"/>
    <w:rsid w:val="00A70300"/>
    <w:rsid w:val="00A7359D"/>
    <w:rsid w:val="00A8338C"/>
    <w:rsid w:val="00A906D4"/>
    <w:rsid w:val="00AB04A9"/>
    <w:rsid w:val="00AB5362"/>
    <w:rsid w:val="00AC2212"/>
    <w:rsid w:val="00AC4E7C"/>
    <w:rsid w:val="00AC591E"/>
    <w:rsid w:val="00AD6CC4"/>
    <w:rsid w:val="00AF33B1"/>
    <w:rsid w:val="00AF4D99"/>
    <w:rsid w:val="00AF7202"/>
    <w:rsid w:val="00B03C25"/>
    <w:rsid w:val="00B03C60"/>
    <w:rsid w:val="00B114E9"/>
    <w:rsid w:val="00B22AAF"/>
    <w:rsid w:val="00B41881"/>
    <w:rsid w:val="00B462D4"/>
    <w:rsid w:val="00B46507"/>
    <w:rsid w:val="00B52164"/>
    <w:rsid w:val="00B609E3"/>
    <w:rsid w:val="00B66B03"/>
    <w:rsid w:val="00B82240"/>
    <w:rsid w:val="00B87193"/>
    <w:rsid w:val="00B91566"/>
    <w:rsid w:val="00B965C1"/>
    <w:rsid w:val="00B9726C"/>
    <w:rsid w:val="00BB28D4"/>
    <w:rsid w:val="00BB6542"/>
    <w:rsid w:val="00BD3EDB"/>
    <w:rsid w:val="00BD4793"/>
    <w:rsid w:val="00BE48A7"/>
    <w:rsid w:val="00BF1CD8"/>
    <w:rsid w:val="00BF47AB"/>
    <w:rsid w:val="00C00155"/>
    <w:rsid w:val="00C301DA"/>
    <w:rsid w:val="00C54E1E"/>
    <w:rsid w:val="00C85CF2"/>
    <w:rsid w:val="00CA5A2E"/>
    <w:rsid w:val="00CB19C0"/>
    <w:rsid w:val="00CC3FD9"/>
    <w:rsid w:val="00CD10A4"/>
    <w:rsid w:val="00CF6212"/>
    <w:rsid w:val="00D509D0"/>
    <w:rsid w:val="00D53ABC"/>
    <w:rsid w:val="00D61A71"/>
    <w:rsid w:val="00D62EC1"/>
    <w:rsid w:val="00D665AC"/>
    <w:rsid w:val="00D729AD"/>
    <w:rsid w:val="00D75055"/>
    <w:rsid w:val="00D8250A"/>
    <w:rsid w:val="00D84D8E"/>
    <w:rsid w:val="00DA0A67"/>
    <w:rsid w:val="00DA6CD4"/>
    <w:rsid w:val="00DB5642"/>
    <w:rsid w:val="00DD1251"/>
    <w:rsid w:val="00DD1BBB"/>
    <w:rsid w:val="00DE69FF"/>
    <w:rsid w:val="00DF7F3B"/>
    <w:rsid w:val="00E02D2F"/>
    <w:rsid w:val="00E1259F"/>
    <w:rsid w:val="00E1305C"/>
    <w:rsid w:val="00E25B1F"/>
    <w:rsid w:val="00E46103"/>
    <w:rsid w:val="00E6039E"/>
    <w:rsid w:val="00E61AD2"/>
    <w:rsid w:val="00E62F39"/>
    <w:rsid w:val="00E64AE2"/>
    <w:rsid w:val="00E80022"/>
    <w:rsid w:val="00E820C5"/>
    <w:rsid w:val="00EA4D2A"/>
    <w:rsid w:val="00EB0056"/>
    <w:rsid w:val="00EB3473"/>
    <w:rsid w:val="00EB7FF0"/>
    <w:rsid w:val="00EC1681"/>
    <w:rsid w:val="00EC172B"/>
    <w:rsid w:val="00EC338C"/>
    <w:rsid w:val="00ED1E90"/>
    <w:rsid w:val="00F35B4E"/>
    <w:rsid w:val="00F42C01"/>
    <w:rsid w:val="00F46DC9"/>
    <w:rsid w:val="00F56A00"/>
    <w:rsid w:val="00F6148E"/>
    <w:rsid w:val="00F61FAC"/>
    <w:rsid w:val="00F640F9"/>
    <w:rsid w:val="00F64174"/>
    <w:rsid w:val="00F70F7A"/>
    <w:rsid w:val="00F71024"/>
    <w:rsid w:val="00F713FA"/>
    <w:rsid w:val="00F714C8"/>
    <w:rsid w:val="00F73BA0"/>
    <w:rsid w:val="00F73EA6"/>
    <w:rsid w:val="00F77D16"/>
    <w:rsid w:val="00F94139"/>
    <w:rsid w:val="00FA3B8F"/>
    <w:rsid w:val="00FA50B7"/>
    <w:rsid w:val="00FC010E"/>
    <w:rsid w:val="00FC5744"/>
    <w:rsid w:val="00FF7DCE"/>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C950E7"/>
    <w:pPr>
      <w:spacing w:before="120"/>
    </w:pPr>
    <w:rPr>
      <w:rFonts w:ascii="Arial" w:hAnsi="Arial"/>
      <w:sz w:val="22"/>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F61FAC"/>
    <w:pPr>
      <w:ind w:left="720"/>
      <w:contextualSpacing/>
    </w:pPr>
  </w:style>
  <w:style w:type="paragraph" w:styleId="BalloonText">
    <w:name w:val="Balloon Text"/>
    <w:basedOn w:val="Normal"/>
    <w:link w:val="BalloonTextChar"/>
    <w:rsid w:val="001A377D"/>
    <w:pPr>
      <w:spacing w:before="0"/>
    </w:pPr>
    <w:rPr>
      <w:rFonts w:ascii="Tahoma" w:hAnsi="Tahoma" w:cs="Tahoma"/>
      <w:sz w:val="16"/>
      <w:szCs w:val="16"/>
    </w:rPr>
  </w:style>
  <w:style w:type="character" w:customStyle="1" w:styleId="BalloonTextChar">
    <w:name w:val="Balloon Text Char"/>
    <w:basedOn w:val="DefaultParagraphFont"/>
    <w:link w:val="BalloonText"/>
    <w:rsid w:val="001A377D"/>
    <w:rPr>
      <w:rFonts w:ascii="Tahoma" w:hAnsi="Tahoma" w:cs="Tahoma"/>
      <w:sz w:val="16"/>
      <w:szCs w:val="16"/>
    </w:rPr>
  </w:style>
  <w:style w:type="character" w:styleId="CommentReference">
    <w:name w:val="annotation reference"/>
    <w:basedOn w:val="DefaultParagraphFont"/>
    <w:rsid w:val="00806C58"/>
    <w:rPr>
      <w:sz w:val="16"/>
      <w:szCs w:val="16"/>
    </w:rPr>
  </w:style>
  <w:style w:type="paragraph" w:styleId="CommentText">
    <w:name w:val="annotation text"/>
    <w:basedOn w:val="Normal"/>
    <w:link w:val="CommentTextChar"/>
    <w:rsid w:val="00806C58"/>
    <w:rPr>
      <w:sz w:val="20"/>
      <w:szCs w:val="20"/>
    </w:rPr>
  </w:style>
  <w:style w:type="character" w:customStyle="1" w:styleId="CommentTextChar">
    <w:name w:val="Comment Text Char"/>
    <w:basedOn w:val="DefaultParagraphFont"/>
    <w:link w:val="CommentText"/>
    <w:rsid w:val="00806C58"/>
    <w:rPr>
      <w:rFonts w:ascii="Arial" w:hAnsi="Arial"/>
    </w:rPr>
  </w:style>
  <w:style w:type="paragraph" w:styleId="CommentSubject">
    <w:name w:val="annotation subject"/>
    <w:basedOn w:val="CommentText"/>
    <w:next w:val="CommentText"/>
    <w:link w:val="CommentSubjectChar"/>
    <w:rsid w:val="00806C58"/>
    <w:rPr>
      <w:b/>
      <w:bCs/>
    </w:rPr>
  </w:style>
  <w:style w:type="character" w:customStyle="1" w:styleId="CommentSubjectChar">
    <w:name w:val="Comment Subject Char"/>
    <w:basedOn w:val="CommentTextChar"/>
    <w:link w:val="CommentSubject"/>
    <w:rsid w:val="00806C58"/>
    <w:rPr>
      <w:rFonts w:ascii="Arial" w:hAnsi="Arial"/>
      <w:b/>
      <w:bCs/>
    </w:rPr>
  </w:style>
  <w:style w:type="paragraph" w:styleId="FootnoteText">
    <w:name w:val="footnote text"/>
    <w:basedOn w:val="Normal"/>
    <w:link w:val="FootnoteTextChar"/>
    <w:rsid w:val="00A60938"/>
    <w:pPr>
      <w:spacing w:before="0"/>
    </w:pPr>
    <w:rPr>
      <w:sz w:val="20"/>
      <w:szCs w:val="20"/>
    </w:rPr>
  </w:style>
  <w:style w:type="character" w:customStyle="1" w:styleId="FootnoteTextChar">
    <w:name w:val="Footnote Text Char"/>
    <w:basedOn w:val="DefaultParagraphFont"/>
    <w:link w:val="FootnoteText"/>
    <w:rsid w:val="00A60938"/>
    <w:rPr>
      <w:rFonts w:ascii="Arial" w:hAnsi="Arial"/>
    </w:rPr>
  </w:style>
  <w:style w:type="character" w:styleId="FollowedHyperlink">
    <w:name w:val="FollowedHyperlink"/>
    <w:basedOn w:val="DefaultParagraphFont"/>
    <w:rsid w:val="00463498"/>
    <w:rPr>
      <w:color w:val="800080" w:themeColor="followedHyperlink"/>
      <w:u w:val="single"/>
    </w:rPr>
  </w:style>
  <w:style w:type="paragraph" w:styleId="EndnoteText">
    <w:name w:val="endnote text"/>
    <w:basedOn w:val="Normal"/>
    <w:link w:val="EndnoteTextChar"/>
    <w:rsid w:val="00F6148E"/>
    <w:pPr>
      <w:spacing w:before="0"/>
    </w:pPr>
    <w:rPr>
      <w:sz w:val="20"/>
      <w:szCs w:val="20"/>
    </w:rPr>
  </w:style>
  <w:style w:type="character" w:customStyle="1" w:styleId="EndnoteTextChar">
    <w:name w:val="Endnote Text Char"/>
    <w:basedOn w:val="DefaultParagraphFont"/>
    <w:link w:val="EndnoteText"/>
    <w:rsid w:val="00F6148E"/>
    <w:rPr>
      <w:rFonts w:ascii="Arial" w:hAnsi="Arial"/>
      <w:sz w:val="20"/>
      <w:szCs w:val="20"/>
    </w:rPr>
  </w:style>
  <w:style w:type="character" w:styleId="EndnoteReference">
    <w:name w:val="endnote reference"/>
    <w:basedOn w:val="DefaultParagraphFont"/>
    <w:rsid w:val="00F614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C950E7"/>
    <w:pPr>
      <w:spacing w:before="120"/>
    </w:pPr>
    <w:rPr>
      <w:rFonts w:ascii="Arial" w:hAnsi="Arial"/>
      <w:sz w:val="22"/>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F61FAC"/>
    <w:pPr>
      <w:ind w:left="720"/>
      <w:contextualSpacing/>
    </w:pPr>
  </w:style>
  <w:style w:type="paragraph" w:styleId="BalloonText">
    <w:name w:val="Balloon Text"/>
    <w:basedOn w:val="Normal"/>
    <w:link w:val="BalloonTextChar"/>
    <w:rsid w:val="001A377D"/>
    <w:pPr>
      <w:spacing w:before="0"/>
    </w:pPr>
    <w:rPr>
      <w:rFonts w:ascii="Tahoma" w:hAnsi="Tahoma" w:cs="Tahoma"/>
      <w:sz w:val="16"/>
      <w:szCs w:val="16"/>
    </w:rPr>
  </w:style>
  <w:style w:type="character" w:customStyle="1" w:styleId="BalloonTextChar">
    <w:name w:val="Balloon Text Char"/>
    <w:basedOn w:val="DefaultParagraphFont"/>
    <w:link w:val="BalloonText"/>
    <w:rsid w:val="001A377D"/>
    <w:rPr>
      <w:rFonts w:ascii="Tahoma" w:hAnsi="Tahoma" w:cs="Tahoma"/>
      <w:sz w:val="16"/>
      <w:szCs w:val="16"/>
    </w:rPr>
  </w:style>
  <w:style w:type="character" w:styleId="CommentReference">
    <w:name w:val="annotation reference"/>
    <w:basedOn w:val="DefaultParagraphFont"/>
    <w:rsid w:val="00806C58"/>
    <w:rPr>
      <w:sz w:val="16"/>
      <w:szCs w:val="16"/>
    </w:rPr>
  </w:style>
  <w:style w:type="paragraph" w:styleId="CommentText">
    <w:name w:val="annotation text"/>
    <w:basedOn w:val="Normal"/>
    <w:link w:val="CommentTextChar"/>
    <w:rsid w:val="00806C58"/>
    <w:rPr>
      <w:sz w:val="20"/>
      <w:szCs w:val="20"/>
    </w:rPr>
  </w:style>
  <w:style w:type="character" w:customStyle="1" w:styleId="CommentTextChar">
    <w:name w:val="Comment Text Char"/>
    <w:basedOn w:val="DefaultParagraphFont"/>
    <w:link w:val="CommentText"/>
    <w:rsid w:val="00806C58"/>
    <w:rPr>
      <w:rFonts w:ascii="Arial" w:hAnsi="Arial"/>
    </w:rPr>
  </w:style>
  <w:style w:type="paragraph" w:styleId="CommentSubject">
    <w:name w:val="annotation subject"/>
    <w:basedOn w:val="CommentText"/>
    <w:next w:val="CommentText"/>
    <w:link w:val="CommentSubjectChar"/>
    <w:rsid w:val="00806C58"/>
    <w:rPr>
      <w:b/>
      <w:bCs/>
    </w:rPr>
  </w:style>
  <w:style w:type="character" w:customStyle="1" w:styleId="CommentSubjectChar">
    <w:name w:val="Comment Subject Char"/>
    <w:basedOn w:val="CommentTextChar"/>
    <w:link w:val="CommentSubject"/>
    <w:rsid w:val="00806C58"/>
    <w:rPr>
      <w:rFonts w:ascii="Arial" w:hAnsi="Arial"/>
      <w:b/>
      <w:bCs/>
    </w:rPr>
  </w:style>
  <w:style w:type="paragraph" w:styleId="FootnoteText">
    <w:name w:val="footnote text"/>
    <w:basedOn w:val="Normal"/>
    <w:link w:val="FootnoteTextChar"/>
    <w:rsid w:val="00A60938"/>
    <w:pPr>
      <w:spacing w:before="0"/>
    </w:pPr>
    <w:rPr>
      <w:sz w:val="20"/>
      <w:szCs w:val="20"/>
    </w:rPr>
  </w:style>
  <w:style w:type="character" w:customStyle="1" w:styleId="FootnoteTextChar">
    <w:name w:val="Footnote Text Char"/>
    <w:basedOn w:val="DefaultParagraphFont"/>
    <w:link w:val="FootnoteText"/>
    <w:rsid w:val="00A60938"/>
    <w:rPr>
      <w:rFonts w:ascii="Arial" w:hAnsi="Arial"/>
    </w:rPr>
  </w:style>
  <w:style w:type="character" w:styleId="FollowedHyperlink">
    <w:name w:val="FollowedHyperlink"/>
    <w:basedOn w:val="DefaultParagraphFont"/>
    <w:rsid w:val="00463498"/>
    <w:rPr>
      <w:color w:val="800080" w:themeColor="followedHyperlink"/>
      <w:u w:val="single"/>
    </w:rPr>
  </w:style>
  <w:style w:type="paragraph" w:styleId="EndnoteText">
    <w:name w:val="endnote text"/>
    <w:basedOn w:val="Normal"/>
    <w:link w:val="EndnoteTextChar"/>
    <w:rsid w:val="00F6148E"/>
    <w:pPr>
      <w:spacing w:before="0"/>
    </w:pPr>
    <w:rPr>
      <w:sz w:val="20"/>
      <w:szCs w:val="20"/>
    </w:rPr>
  </w:style>
  <w:style w:type="character" w:customStyle="1" w:styleId="EndnoteTextChar">
    <w:name w:val="Endnote Text Char"/>
    <w:basedOn w:val="DefaultParagraphFont"/>
    <w:link w:val="EndnoteText"/>
    <w:rsid w:val="00F6148E"/>
    <w:rPr>
      <w:rFonts w:ascii="Arial" w:hAnsi="Arial"/>
      <w:sz w:val="20"/>
      <w:szCs w:val="20"/>
    </w:rPr>
  </w:style>
  <w:style w:type="character" w:styleId="EndnoteReference">
    <w:name w:val="endnote reference"/>
    <w:basedOn w:val="DefaultParagraphFont"/>
    <w:rsid w:val="00F61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88875">
      <w:bodyDiv w:val="1"/>
      <w:marLeft w:val="0"/>
      <w:marRight w:val="0"/>
      <w:marTop w:val="0"/>
      <w:marBottom w:val="0"/>
      <w:divBdr>
        <w:top w:val="none" w:sz="0" w:space="0" w:color="auto"/>
        <w:left w:val="none" w:sz="0" w:space="0" w:color="auto"/>
        <w:bottom w:val="none" w:sz="0" w:space="0" w:color="auto"/>
        <w:right w:val="none" w:sz="0" w:space="0" w:color="auto"/>
      </w:divBdr>
    </w:div>
    <w:div w:id="1513103651">
      <w:bodyDiv w:val="1"/>
      <w:marLeft w:val="0"/>
      <w:marRight w:val="0"/>
      <w:marTop w:val="0"/>
      <w:marBottom w:val="0"/>
      <w:divBdr>
        <w:top w:val="none" w:sz="0" w:space="0" w:color="auto"/>
        <w:left w:val="none" w:sz="0" w:space="0" w:color="auto"/>
        <w:bottom w:val="none" w:sz="0" w:space="0" w:color="auto"/>
        <w:right w:val="none" w:sz="0" w:space="0" w:color="auto"/>
      </w:divBdr>
    </w:div>
    <w:div w:id="1618609681">
      <w:bodyDiv w:val="1"/>
      <w:marLeft w:val="0"/>
      <w:marRight w:val="0"/>
      <w:marTop w:val="0"/>
      <w:marBottom w:val="0"/>
      <w:divBdr>
        <w:top w:val="none" w:sz="0" w:space="0" w:color="auto"/>
        <w:left w:val="none" w:sz="0" w:space="0" w:color="auto"/>
        <w:bottom w:val="none" w:sz="0" w:space="0" w:color="auto"/>
        <w:right w:val="none" w:sz="0" w:space="0" w:color="auto"/>
      </w:divBdr>
    </w:div>
    <w:div w:id="1828550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ifrc.org/Global/Documents/Secretariat/201505/1292500-DRR%20Mapping%202015-EN_LR.pdf" TargetMode="External"/><Relationship Id="rId13" Type="http://schemas.openxmlformats.org/officeDocument/2006/relationships/hyperlink" Target="http://www.ifrc.org/en/news-and-media/news-stories/asia-pacific/thailand/bangkok-red-cross-and-red-crescent-impact-at-the-6th-amcdrr-66232/" TargetMode="External"/><Relationship Id="rId18" Type="http://schemas.openxmlformats.org/officeDocument/2006/relationships/hyperlink" Target="http://ifrc-media.org/interactive/wp-content/uploads/2015/09/1293600-World-Disasters-Report-2015_en.pdf" TargetMode="External"/><Relationship Id="rId26" Type="http://schemas.openxmlformats.org/officeDocument/2006/relationships/hyperlink" Target="http://climate-l.iisd.org/news/asean-summit-adopts-declaration-on-climate-change-and-resilience/" TargetMode="External"/><Relationship Id="rId3" Type="http://schemas.openxmlformats.org/officeDocument/2006/relationships/hyperlink" Target="http://www.unescap.org/sites/default/files/23-Natural-disaster-SYB2014.pdf" TargetMode="External"/><Relationship Id="rId21" Type="http://schemas.openxmlformats.org/officeDocument/2006/relationships/hyperlink" Target="http://www.worldbank.org/content/dam/Worldbank/document/Full_Report_Vol_2_Turn_Down_The_Heat_%20Climate_Extremes_Regional_Impacts_Case_for_Resilience_Print%20version_FINAL.pdf" TargetMode="External"/><Relationship Id="rId7" Type="http://schemas.openxmlformats.org/officeDocument/2006/relationships/hyperlink" Target="https://www.ifrc.org/Global/Documents/Secretariat/201505/1292500-DRR%20Mapping%202015-EN_LR.pdf" TargetMode="External"/><Relationship Id="rId12" Type="http://schemas.openxmlformats.org/officeDocument/2006/relationships/hyperlink" Target="http://www.ifrc.org/en/news-and-media/meetings-and-events/world-conference-on-disaster-risk-reduction-sendai-japan/" TargetMode="External"/><Relationship Id="rId17" Type="http://schemas.openxmlformats.org/officeDocument/2006/relationships/hyperlink" Target="https://www.ifrc.org/Global/Documents/Secretariat/201501/1284000-Framework%20for%20Community%20Resilience-EN-LR.pdf" TargetMode="External"/><Relationship Id="rId25" Type="http://schemas.openxmlformats.org/officeDocument/2006/relationships/hyperlink" Target="http://environment.asean.org/asean-working-group-on-climate-change/" TargetMode="External"/><Relationship Id="rId2" Type="http://schemas.openxmlformats.org/officeDocument/2006/relationships/hyperlink" Target="http://www.unescap.org/sites/default/files/23-Natural-disaster-SYB2014.pdf" TargetMode="External"/><Relationship Id="rId16" Type="http://schemas.openxmlformats.org/officeDocument/2006/relationships/hyperlink" Target="https://www.ifrc.org/Global/Publications/disasters/vca/how-to-do-vca-en.pdf" TargetMode="External"/><Relationship Id="rId20" Type="http://schemas.openxmlformats.org/officeDocument/2006/relationships/hyperlink" Target="http://www.ipcc.ch/report/ar5/wg2/docs/WGIIAR5_SPM_Top_Level_Findings.pdf" TargetMode="External"/><Relationship Id="rId1" Type="http://schemas.openxmlformats.org/officeDocument/2006/relationships/hyperlink" Target="http://www.unescap.org/sites/default/files/23-Natural-disaster-SYB2014.pdf" TargetMode="External"/><Relationship Id="rId6" Type="http://schemas.openxmlformats.org/officeDocument/2006/relationships/hyperlink" Target="https://www.ifrc.org/Global/Documents/Secretariat/201505/1292500-DRR%20Mapping%202015-EN_LR.pdf" TargetMode="External"/><Relationship Id="rId11" Type="http://schemas.openxmlformats.org/officeDocument/2006/relationships/hyperlink" Target="http://www.unisdr.org/we/coordinate/sendai-framework" TargetMode="External"/><Relationship Id="rId24" Type="http://schemas.openxmlformats.org/officeDocument/2006/relationships/hyperlink" Target="http://environment.asean.org/asean-working-group-on-climate-change/" TargetMode="External"/><Relationship Id="rId5" Type="http://schemas.openxmlformats.org/officeDocument/2006/relationships/hyperlink" Target="http://www.asean.org/news/asean-secretariat-news/item/asean-strengthens-its-collective-response-in-disasters" TargetMode="External"/><Relationship Id="rId15" Type="http://schemas.openxmlformats.org/officeDocument/2006/relationships/hyperlink" Target="http://www.climatecentre.org/downloads/files/Minimum%20Standards/Minimum%20Standards%20for%20climate-smart%20DRR%20%202.0%20NOV%202013.pdf" TargetMode="External"/><Relationship Id="rId23" Type="http://schemas.openxmlformats.org/officeDocument/2006/relationships/hyperlink" Target="https://www.ipcc.ch/pdf/assessment-report/ar5/wg2/drafts/fd/WGIIAR5-Chap24_FGDall.pdf" TargetMode="External"/><Relationship Id="rId10" Type="http://schemas.openxmlformats.org/officeDocument/2006/relationships/hyperlink" Target="https://www.ifrc.org/Global/Documents/Secretariat/201505/1292500-DRR%20Mapping%202015-EN_LR.pdf" TargetMode="External"/><Relationship Id="rId19" Type="http://schemas.openxmlformats.org/officeDocument/2006/relationships/hyperlink" Target="http://www.ipcc.ch/report/ar5/wg2/docs/WGIIAR5_SPM_Top_Level_Findings.pdf" TargetMode="External"/><Relationship Id="rId4" Type="http://schemas.openxmlformats.org/officeDocument/2006/relationships/hyperlink" Target="http://www.un.org/apps/news/story.asp?NewsID=49642" TargetMode="External"/><Relationship Id="rId9" Type="http://schemas.openxmlformats.org/officeDocument/2006/relationships/hyperlink" Target="https://www.ifrc.org/Global/Documents/Secretariat/201505/1292500-DRR%20Mapping%202015-EN_LR.pdf" TargetMode="External"/><Relationship Id="rId14" Type="http://schemas.openxmlformats.org/officeDocument/2006/relationships/hyperlink" Target="https://www.ifrc.org/FedNet/Our%20IFRC/Zones/AP/Events/2014/AMCDRR/Zero%20Draft-%20Bangkok%20Declaration-6AMCDRR-revised%2022June.docx" TargetMode="External"/><Relationship Id="rId22" Type="http://schemas.openxmlformats.org/officeDocument/2006/relationships/hyperlink" Target="http://www.worldbank.org/content/dam/Worldbank/document/Full_Report_Vol_2_Turn_Down_The_Heat_%20Climate_Extremes_Regional_Impacts_Case_for_Resilience_Print%20version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atejean.smith\Dropbox\IFRC\Guidelines%20&amp;%20Templates\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83F8-9331-49AB-B83E-6BA22A0D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IFRC-generic-template-EN.dotx</Template>
  <TotalTime>1</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KateJean Smith</dc:creator>
  <cp:lastModifiedBy>Angeline Tandiono</cp:lastModifiedBy>
  <cp:revision>2</cp:revision>
  <cp:lastPrinted>2014-10-02T08:00:00Z</cp:lastPrinted>
  <dcterms:created xsi:type="dcterms:W3CDTF">2015-10-01T10:09:00Z</dcterms:created>
  <dcterms:modified xsi:type="dcterms:W3CDTF">2015-10-01T10:09:00Z</dcterms:modified>
</cp:coreProperties>
</file>