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9C" w:rsidRPr="006D2D52" w:rsidRDefault="00EB499C" w:rsidP="00EB499C">
      <w:pPr>
        <w:pStyle w:val="Heading1"/>
      </w:pPr>
      <w:bookmarkStart w:id="0" w:name="_Toc431536619"/>
      <w:bookmarkStart w:id="1" w:name="_GoBack"/>
      <w:bookmarkEnd w:id="1"/>
      <w:r>
        <w:t xml:space="preserve">Training </w:t>
      </w:r>
      <w:r w:rsidRPr="006D2D52">
        <w:t xml:space="preserve">Session Plan </w:t>
      </w:r>
      <w:bookmarkEnd w:id="0"/>
      <w:r w:rsidR="0029698A">
        <w:t>– Group 2</w:t>
      </w:r>
    </w:p>
    <w:p w:rsidR="00EB499C" w:rsidRPr="006509A7" w:rsidRDefault="00EB499C" w:rsidP="00EB499C">
      <w:pPr>
        <w:rPr>
          <w:b/>
          <w:bCs/>
        </w:rPr>
      </w:pPr>
    </w:p>
    <w:tbl>
      <w:tblPr>
        <w:tblStyle w:val="TableGrid"/>
        <w:tblW w:w="0" w:type="auto"/>
        <w:tblLook w:val="04A0" w:firstRow="1" w:lastRow="0" w:firstColumn="1" w:lastColumn="0" w:noHBand="0" w:noVBand="1"/>
      </w:tblPr>
      <w:tblGrid>
        <w:gridCol w:w="1915"/>
        <w:gridCol w:w="7463"/>
      </w:tblGrid>
      <w:tr w:rsidR="00EB499C" w:rsidTr="00F85EE6">
        <w:tc>
          <w:tcPr>
            <w:tcW w:w="1915" w:type="dxa"/>
            <w:shd w:val="clear" w:color="auto" w:fill="BFBFBF" w:themeFill="background1" w:themeFillShade="BF"/>
          </w:tcPr>
          <w:p w:rsidR="00EB499C" w:rsidRPr="006509A7" w:rsidRDefault="00EB499C" w:rsidP="00F85EE6">
            <w:pPr>
              <w:rPr>
                <w:b/>
                <w:bCs/>
              </w:rPr>
            </w:pPr>
            <w:r>
              <w:rPr>
                <w:b/>
                <w:bCs/>
              </w:rPr>
              <w:t>Session/ d</w:t>
            </w:r>
            <w:r w:rsidRPr="006509A7">
              <w:rPr>
                <w:b/>
                <w:bCs/>
              </w:rPr>
              <w:t>ay</w:t>
            </w:r>
          </w:p>
        </w:tc>
        <w:tc>
          <w:tcPr>
            <w:tcW w:w="7463" w:type="dxa"/>
          </w:tcPr>
          <w:p w:rsidR="00EB499C" w:rsidRDefault="00EB499C" w:rsidP="007512D6">
            <w:r>
              <w:t xml:space="preserve">Session </w:t>
            </w:r>
            <w:r w:rsidR="007512D6">
              <w:t>DAPS of People with Disabilities</w:t>
            </w:r>
            <w:r>
              <w:t xml:space="preserve">   / Day </w:t>
            </w:r>
            <w:r w:rsidR="007512D6">
              <w:t>3</w:t>
            </w:r>
          </w:p>
        </w:tc>
      </w:tr>
      <w:tr w:rsidR="00EB499C" w:rsidTr="00F85EE6">
        <w:tc>
          <w:tcPr>
            <w:tcW w:w="1915" w:type="dxa"/>
            <w:shd w:val="clear" w:color="auto" w:fill="BFBFBF" w:themeFill="background1" w:themeFillShade="BF"/>
          </w:tcPr>
          <w:p w:rsidR="00EB499C" w:rsidRPr="006509A7" w:rsidRDefault="00EB499C" w:rsidP="00F85EE6">
            <w:pPr>
              <w:rPr>
                <w:b/>
                <w:bCs/>
              </w:rPr>
            </w:pPr>
            <w:r>
              <w:rPr>
                <w:b/>
                <w:bCs/>
              </w:rPr>
              <w:t>Session t</w:t>
            </w:r>
            <w:r w:rsidRPr="006509A7">
              <w:rPr>
                <w:b/>
                <w:bCs/>
              </w:rPr>
              <w:t>itle</w:t>
            </w:r>
          </w:p>
        </w:tc>
        <w:tc>
          <w:tcPr>
            <w:tcW w:w="7463" w:type="dxa"/>
          </w:tcPr>
          <w:p w:rsidR="00EB499C" w:rsidRDefault="007512D6" w:rsidP="00F85EE6">
            <w:r>
              <w:t>Dignity, Access, Participation and Safety of People with Disabilities</w:t>
            </w:r>
          </w:p>
        </w:tc>
      </w:tr>
      <w:tr w:rsidR="00EB499C" w:rsidTr="00F85EE6">
        <w:tc>
          <w:tcPr>
            <w:tcW w:w="1915" w:type="dxa"/>
            <w:shd w:val="clear" w:color="auto" w:fill="BFBFBF" w:themeFill="background1" w:themeFillShade="BF"/>
          </w:tcPr>
          <w:p w:rsidR="00EB499C" w:rsidRPr="006509A7" w:rsidRDefault="00EB499C" w:rsidP="00F85EE6">
            <w:pPr>
              <w:rPr>
                <w:b/>
                <w:bCs/>
              </w:rPr>
            </w:pPr>
            <w:r>
              <w:rPr>
                <w:b/>
                <w:bCs/>
              </w:rPr>
              <w:t>Trainer(s)</w:t>
            </w:r>
          </w:p>
        </w:tc>
        <w:tc>
          <w:tcPr>
            <w:tcW w:w="7463" w:type="dxa"/>
          </w:tcPr>
          <w:p w:rsidR="00EB499C" w:rsidRDefault="007512D6" w:rsidP="00F85EE6">
            <w:r>
              <w:t xml:space="preserve">Nita </w:t>
            </w:r>
            <w:proofErr w:type="spellStart"/>
            <w:r>
              <w:t>Ryarti</w:t>
            </w:r>
            <w:proofErr w:type="spellEnd"/>
            <w:r>
              <w:t xml:space="preserve">; </w:t>
            </w:r>
            <w:proofErr w:type="spellStart"/>
            <w:r>
              <w:t>Khin</w:t>
            </w:r>
            <w:proofErr w:type="spellEnd"/>
            <w:r>
              <w:t xml:space="preserve"> </w:t>
            </w:r>
            <w:proofErr w:type="spellStart"/>
            <w:r>
              <w:t>Khin</w:t>
            </w:r>
            <w:proofErr w:type="spellEnd"/>
            <w:r>
              <w:t xml:space="preserve"> </w:t>
            </w:r>
            <w:proofErr w:type="spellStart"/>
            <w:r>
              <w:t>Shein</w:t>
            </w:r>
            <w:proofErr w:type="spellEnd"/>
            <w:r>
              <w:t xml:space="preserve">; Martina </w:t>
            </w:r>
            <w:proofErr w:type="spellStart"/>
            <w:r>
              <w:t>Mendonca</w:t>
            </w:r>
            <w:proofErr w:type="spellEnd"/>
            <w:r>
              <w:t xml:space="preserve">; </w:t>
            </w:r>
            <w:proofErr w:type="spellStart"/>
            <w:r>
              <w:t>Sychanta</w:t>
            </w:r>
            <w:proofErr w:type="spellEnd"/>
            <w:r>
              <w:t xml:space="preserve"> </w:t>
            </w:r>
            <w:proofErr w:type="spellStart"/>
            <w:r>
              <w:t>kittivong</w:t>
            </w:r>
            <w:proofErr w:type="spellEnd"/>
            <w:r>
              <w:t xml:space="preserve">; </w:t>
            </w:r>
            <w:proofErr w:type="spellStart"/>
            <w:r>
              <w:t>Chamnong</w:t>
            </w:r>
            <w:proofErr w:type="spellEnd"/>
          </w:p>
        </w:tc>
      </w:tr>
      <w:tr w:rsidR="00EB499C" w:rsidTr="00F85EE6">
        <w:tc>
          <w:tcPr>
            <w:tcW w:w="1915" w:type="dxa"/>
            <w:shd w:val="clear" w:color="auto" w:fill="BFBFBF" w:themeFill="background1" w:themeFillShade="BF"/>
          </w:tcPr>
          <w:p w:rsidR="00EB499C" w:rsidRPr="006509A7" w:rsidRDefault="00EB499C" w:rsidP="00F85EE6">
            <w:pPr>
              <w:rPr>
                <w:b/>
                <w:bCs/>
              </w:rPr>
            </w:pPr>
            <w:r w:rsidRPr="006509A7">
              <w:rPr>
                <w:b/>
                <w:bCs/>
              </w:rPr>
              <w:t>Timing</w:t>
            </w:r>
          </w:p>
        </w:tc>
        <w:tc>
          <w:tcPr>
            <w:tcW w:w="7463" w:type="dxa"/>
          </w:tcPr>
          <w:p w:rsidR="00EB499C" w:rsidRDefault="007512D6" w:rsidP="00F85EE6">
            <w:r>
              <w:t>9.20-10.40 am</w:t>
            </w:r>
          </w:p>
        </w:tc>
      </w:tr>
      <w:tr w:rsidR="00EB499C" w:rsidTr="00F85EE6">
        <w:tc>
          <w:tcPr>
            <w:tcW w:w="1915" w:type="dxa"/>
            <w:shd w:val="clear" w:color="auto" w:fill="BFBFBF" w:themeFill="background1" w:themeFillShade="BF"/>
          </w:tcPr>
          <w:p w:rsidR="00EB499C" w:rsidRPr="006509A7" w:rsidRDefault="00EB499C" w:rsidP="00F85EE6">
            <w:pPr>
              <w:rPr>
                <w:b/>
                <w:bCs/>
              </w:rPr>
            </w:pPr>
            <w:r>
              <w:rPr>
                <w:b/>
                <w:bCs/>
              </w:rPr>
              <w:t>Rationale</w:t>
            </w:r>
          </w:p>
        </w:tc>
        <w:tc>
          <w:tcPr>
            <w:tcW w:w="7463" w:type="dxa"/>
          </w:tcPr>
          <w:p w:rsidR="00EB499C" w:rsidRDefault="00D47F36" w:rsidP="00DA5BF4">
            <w:r>
              <w:t xml:space="preserve">It is important for participants to understand the concept of disabilities and inclusion, as well as the four actions we need to do in order to support people with disabilities to contribute in </w:t>
            </w:r>
            <w:r w:rsidR="00DA5BF4">
              <w:t>non-emergency situations</w:t>
            </w:r>
            <w:r>
              <w:t xml:space="preserve">. </w:t>
            </w:r>
            <w:r w:rsidR="00DA5BF4">
              <w:t xml:space="preserve">The participation of </w:t>
            </w:r>
            <w:r w:rsidR="00F73DE7">
              <w:t xml:space="preserve">people with disabilities should be promoted </w:t>
            </w:r>
            <w:r w:rsidR="00DA5BF4">
              <w:t>t</w:t>
            </w:r>
            <w:r w:rsidR="00F73DE7">
              <w:t xml:space="preserve">hroughout all </w:t>
            </w:r>
            <w:r w:rsidR="00DA5BF4">
              <w:t>RC/RC programs and services</w:t>
            </w:r>
            <w:r w:rsidR="00F73DE7">
              <w:t xml:space="preserve">. </w:t>
            </w:r>
          </w:p>
        </w:tc>
      </w:tr>
      <w:tr w:rsidR="00EB499C" w:rsidTr="00F85EE6">
        <w:tc>
          <w:tcPr>
            <w:tcW w:w="1915" w:type="dxa"/>
            <w:shd w:val="clear" w:color="auto" w:fill="BFBFBF" w:themeFill="background1" w:themeFillShade="BF"/>
          </w:tcPr>
          <w:p w:rsidR="00EB499C" w:rsidRPr="006509A7" w:rsidRDefault="00EB499C" w:rsidP="00F85EE6">
            <w:pPr>
              <w:rPr>
                <w:b/>
                <w:bCs/>
              </w:rPr>
            </w:pPr>
            <w:r w:rsidRPr="006509A7">
              <w:rPr>
                <w:b/>
                <w:bCs/>
              </w:rPr>
              <w:t>Aim</w:t>
            </w:r>
          </w:p>
        </w:tc>
        <w:tc>
          <w:tcPr>
            <w:tcW w:w="7463" w:type="dxa"/>
          </w:tcPr>
          <w:p w:rsidR="00EB499C" w:rsidRDefault="00B11598" w:rsidP="000723BD">
            <w:r>
              <w:t xml:space="preserve">To increase knowledge on the concept of disabilities and inclusion, </w:t>
            </w:r>
            <w:r w:rsidR="00DA5D77">
              <w:t xml:space="preserve">to promote the participation of people with disabilities in </w:t>
            </w:r>
            <w:r w:rsidR="000723BD">
              <w:t>non-emergency situation and throughout all RC/RC programs and services</w:t>
            </w:r>
            <w:r w:rsidR="00DA5D77">
              <w:t>.</w:t>
            </w:r>
          </w:p>
        </w:tc>
      </w:tr>
      <w:tr w:rsidR="00EB499C" w:rsidTr="00F85EE6">
        <w:tc>
          <w:tcPr>
            <w:tcW w:w="1915" w:type="dxa"/>
            <w:shd w:val="clear" w:color="auto" w:fill="BFBFBF" w:themeFill="background1" w:themeFillShade="BF"/>
          </w:tcPr>
          <w:p w:rsidR="00EB499C" w:rsidRPr="006509A7" w:rsidRDefault="00EB499C" w:rsidP="00F85EE6">
            <w:pPr>
              <w:rPr>
                <w:b/>
                <w:bCs/>
              </w:rPr>
            </w:pPr>
            <w:r w:rsidRPr="006509A7">
              <w:rPr>
                <w:b/>
                <w:bCs/>
              </w:rPr>
              <w:t>Objectives</w:t>
            </w:r>
          </w:p>
        </w:tc>
        <w:tc>
          <w:tcPr>
            <w:tcW w:w="7463" w:type="dxa"/>
          </w:tcPr>
          <w:p w:rsidR="00EB499C" w:rsidRDefault="00EB499C" w:rsidP="00F85EE6">
            <w:r>
              <w:t>By the end of the session, participants will have/ be able to:</w:t>
            </w:r>
          </w:p>
          <w:p w:rsidR="00EB499C" w:rsidRDefault="004B337E" w:rsidP="00EB499C">
            <w:pPr>
              <w:pStyle w:val="ListParagraph"/>
              <w:numPr>
                <w:ilvl w:val="0"/>
                <w:numId w:val="2"/>
              </w:numPr>
            </w:pPr>
            <w:r>
              <w:t>Differentiate between impairment and disability</w:t>
            </w:r>
          </w:p>
          <w:p w:rsidR="004B337E" w:rsidRDefault="004B337E" w:rsidP="00EB499C">
            <w:pPr>
              <w:pStyle w:val="ListParagraph"/>
              <w:numPr>
                <w:ilvl w:val="0"/>
                <w:numId w:val="2"/>
              </w:numPr>
            </w:pPr>
            <w:r>
              <w:t>List four actions to take to support people with disabilities</w:t>
            </w:r>
          </w:p>
          <w:p w:rsidR="00EB499C" w:rsidRDefault="004B337E" w:rsidP="0029698A">
            <w:pPr>
              <w:pStyle w:val="ListParagraph"/>
              <w:numPr>
                <w:ilvl w:val="0"/>
                <w:numId w:val="2"/>
              </w:numPr>
            </w:pPr>
            <w:r>
              <w:t xml:space="preserve">To identify actions to do in order to promote the participation of people with disabilities </w:t>
            </w:r>
            <w:r w:rsidR="00FA0A07">
              <w:t>in RC/RC programs and services</w:t>
            </w:r>
            <w:r>
              <w:t xml:space="preserve">. </w:t>
            </w:r>
          </w:p>
        </w:tc>
      </w:tr>
      <w:tr w:rsidR="00EB499C" w:rsidTr="00F85EE6">
        <w:tc>
          <w:tcPr>
            <w:tcW w:w="1915" w:type="dxa"/>
            <w:shd w:val="clear" w:color="auto" w:fill="BFBFBF" w:themeFill="background1" w:themeFillShade="BF"/>
          </w:tcPr>
          <w:p w:rsidR="00EB499C" w:rsidRPr="006509A7" w:rsidRDefault="00EB499C" w:rsidP="00F85EE6">
            <w:pPr>
              <w:rPr>
                <w:b/>
                <w:bCs/>
              </w:rPr>
            </w:pPr>
            <w:r w:rsidRPr="006509A7">
              <w:rPr>
                <w:b/>
                <w:bCs/>
              </w:rPr>
              <w:t>Key learning points</w:t>
            </w:r>
          </w:p>
        </w:tc>
        <w:tc>
          <w:tcPr>
            <w:tcW w:w="7463" w:type="dxa"/>
          </w:tcPr>
          <w:p w:rsidR="0016662E" w:rsidRDefault="0016662E" w:rsidP="00EB499C">
            <w:pPr>
              <w:pStyle w:val="ListParagraph"/>
              <w:numPr>
                <w:ilvl w:val="0"/>
                <w:numId w:val="4"/>
              </w:numPr>
              <w:spacing w:before="0"/>
            </w:pPr>
            <w:r>
              <w:t xml:space="preserve">Impairment refers to physical, mental, intellectual and sensory challenges </w:t>
            </w:r>
          </w:p>
          <w:p w:rsidR="0016662E" w:rsidRDefault="0016662E" w:rsidP="00EB499C">
            <w:pPr>
              <w:pStyle w:val="ListParagraph"/>
              <w:numPr>
                <w:ilvl w:val="0"/>
                <w:numId w:val="4"/>
              </w:numPr>
              <w:spacing w:before="0"/>
            </w:pPr>
            <w:r>
              <w:t>Barriers are elements that prevent people with impairment to do activities or access facilities at the same level as people without impairment.</w:t>
            </w:r>
          </w:p>
          <w:p w:rsidR="0016662E" w:rsidRDefault="0016662E" w:rsidP="00EB499C">
            <w:pPr>
              <w:pStyle w:val="ListParagraph"/>
              <w:numPr>
                <w:ilvl w:val="0"/>
                <w:numId w:val="4"/>
              </w:numPr>
              <w:spacing w:before="0"/>
            </w:pPr>
            <w:r>
              <w:t>Disability is a combination of impairment and barriers.</w:t>
            </w:r>
          </w:p>
          <w:p w:rsidR="0016662E" w:rsidRDefault="0016662E" w:rsidP="00EB499C">
            <w:pPr>
              <w:pStyle w:val="ListParagraph"/>
              <w:numPr>
                <w:ilvl w:val="0"/>
                <w:numId w:val="4"/>
              </w:numPr>
              <w:spacing w:before="0"/>
            </w:pPr>
            <w:r>
              <w:t>There are four actions we can take to ensure the participation of people with disabilities in non-emergency situations</w:t>
            </w:r>
          </w:p>
          <w:p w:rsidR="00EB499C" w:rsidRDefault="000A6083" w:rsidP="00452492">
            <w:pPr>
              <w:pStyle w:val="ListParagraph"/>
              <w:numPr>
                <w:ilvl w:val="0"/>
                <w:numId w:val="4"/>
              </w:numPr>
              <w:spacing w:before="0"/>
            </w:pPr>
            <w:r>
              <w:t>T</w:t>
            </w:r>
            <w:r w:rsidR="0016662E">
              <w:t xml:space="preserve">he needs and interests of people with disabilities should be promoted in all </w:t>
            </w:r>
            <w:r w:rsidR="00452492">
              <w:t>RC/RC programs and services.</w:t>
            </w:r>
          </w:p>
        </w:tc>
      </w:tr>
      <w:tr w:rsidR="00EB499C" w:rsidTr="00F85EE6">
        <w:tc>
          <w:tcPr>
            <w:tcW w:w="1915" w:type="dxa"/>
            <w:shd w:val="clear" w:color="auto" w:fill="BFBFBF" w:themeFill="background1" w:themeFillShade="BF"/>
          </w:tcPr>
          <w:p w:rsidR="00EB499C" w:rsidRPr="006509A7" w:rsidRDefault="00EB499C" w:rsidP="00F85EE6">
            <w:pPr>
              <w:rPr>
                <w:b/>
                <w:bCs/>
              </w:rPr>
            </w:pPr>
            <w:r w:rsidRPr="006509A7">
              <w:rPr>
                <w:b/>
                <w:bCs/>
              </w:rPr>
              <w:t>Links to other sessions</w:t>
            </w:r>
          </w:p>
        </w:tc>
        <w:tc>
          <w:tcPr>
            <w:tcW w:w="7463" w:type="dxa"/>
          </w:tcPr>
          <w:p w:rsidR="00EB499C" w:rsidRDefault="00720918" w:rsidP="00EB499C">
            <w:pPr>
              <w:pStyle w:val="ListParagraph"/>
              <w:numPr>
                <w:ilvl w:val="0"/>
                <w:numId w:val="5"/>
              </w:numPr>
              <w:spacing w:before="0"/>
            </w:pPr>
            <w:r>
              <w:t>Provide base of understanding on the concept of diversity.</w:t>
            </w:r>
          </w:p>
          <w:p w:rsidR="00EB499C" w:rsidRDefault="00720918" w:rsidP="0027499B">
            <w:pPr>
              <w:pStyle w:val="ListParagraph"/>
              <w:numPr>
                <w:ilvl w:val="0"/>
                <w:numId w:val="5"/>
              </w:numPr>
              <w:spacing w:before="0"/>
            </w:pPr>
            <w:r>
              <w:t>Enrich discussion</w:t>
            </w:r>
            <w:r w:rsidR="00F93AFC">
              <w:t>s</w:t>
            </w:r>
            <w:r>
              <w:t xml:space="preserve"> on gender equality.</w:t>
            </w:r>
          </w:p>
          <w:p w:rsidR="00F93AFC" w:rsidRDefault="00F93AFC" w:rsidP="00F93AFC">
            <w:pPr>
              <w:pStyle w:val="ListParagraph"/>
              <w:numPr>
                <w:ilvl w:val="0"/>
                <w:numId w:val="5"/>
              </w:numPr>
              <w:spacing w:before="0"/>
            </w:pPr>
            <w:r>
              <w:t>Contribute to efforts in disaster risks reduction, and also disaster management</w:t>
            </w:r>
            <w:r w:rsidR="008E6C49">
              <w:t>.</w:t>
            </w:r>
          </w:p>
        </w:tc>
      </w:tr>
      <w:tr w:rsidR="00EB499C" w:rsidTr="00F85EE6">
        <w:tc>
          <w:tcPr>
            <w:tcW w:w="1915" w:type="dxa"/>
            <w:shd w:val="clear" w:color="auto" w:fill="BFBFBF" w:themeFill="background1" w:themeFillShade="BF"/>
          </w:tcPr>
          <w:p w:rsidR="00EB499C" w:rsidRPr="006509A7" w:rsidRDefault="00EB499C" w:rsidP="00F85EE6">
            <w:pPr>
              <w:rPr>
                <w:b/>
                <w:bCs/>
              </w:rPr>
            </w:pPr>
            <w:r w:rsidRPr="006509A7">
              <w:rPr>
                <w:b/>
                <w:bCs/>
              </w:rPr>
              <w:t>Resources needed</w:t>
            </w:r>
          </w:p>
        </w:tc>
        <w:tc>
          <w:tcPr>
            <w:tcW w:w="7463" w:type="dxa"/>
          </w:tcPr>
          <w:p w:rsidR="00EB499C" w:rsidRDefault="00AD7D74" w:rsidP="00EB499C">
            <w:pPr>
              <w:pStyle w:val="ListParagraph"/>
              <w:numPr>
                <w:ilvl w:val="0"/>
                <w:numId w:val="6"/>
              </w:numPr>
              <w:spacing w:before="0"/>
            </w:pPr>
            <w:r>
              <w:t>Flip chart</w:t>
            </w:r>
          </w:p>
          <w:p w:rsidR="00AD7D74" w:rsidRDefault="00AD7D74" w:rsidP="00EB499C">
            <w:pPr>
              <w:pStyle w:val="ListParagraph"/>
              <w:numPr>
                <w:ilvl w:val="0"/>
                <w:numId w:val="6"/>
              </w:numPr>
              <w:spacing w:before="0"/>
            </w:pPr>
            <w:r>
              <w:t>Disability group exercise</w:t>
            </w:r>
          </w:p>
          <w:p w:rsidR="00AD7D74" w:rsidRDefault="00AD7D74" w:rsidP="00EB499C">
            <w:pPr>
              <w:pStyle w:val="ListParagraph"/>
              <w:numPr>
                <w:ilvl w:val="0"/>
                <w:numId w:val="6"/>
              </w:numPr>
              <w:spacing w:before="0"/>
            </w:pPr>
            <w:r>
              <w:t>Oral Presentation</w:t>
            </w:r>
          </w:p>
          <w:p w:rsidR="00EB499C" w:rsidRDefault="00AD7D74" w:rsidP="00F85EE6">
            <w:pPr>
              <w:pStyle w:val="ListParagraph"/>
              <w:numPr>
                <w:ilvl w:val="0"/>
                <w:numId w:val="6"/>
              </w:numPr>
              <w:spacing w:before="0"/>
            </w:pPr>
            <w:r>
              <w:t>Quiz</w:t>
            </w:r>
          </w:p>
          <w:p w:rsidR="00AD7D74" w:rsidRDefault="00AD7D74" w:rsidP="00F85EE6">
            <w:pPr>
              <w:pStyle w:val="ListParagraph"/>
              <w:numPr>
                <w:ilvl w:val="0"/>
                <w:numId w:val="6"/>
              </w:numPr>
              <w:spacing w:before="0"/>
            </w:pPr>
            <w:r>
              <w:t>Timer</w:t>
            </w:r>
          </w:p>
          <w:p w:rsidR="00EB499C" w:rsidRDefault="00AD7D74" w:rsidP="00AD7D74">
            <w:pPr>
              <w:pStyle w:val="ListParagraph"/>
              <w:numPr>
                <w:ilvl w:val="0"/>
                <w:numId w:val="6"/>
              </w:numPr>
              <w:spacing w:before="0"/>
            </w:pPr>
            <w:r>
              <w:t>Materials related to gender and diversity, and disability inclusion</w:t>
            </w:r>
          </w:p>
        </w:tc>
      </w:tr>
      <w:tr w:rsidR="00EB499C" w:rsidTr="00F85EE6">
        <w:tc>
          <w:tcPr>
            <w:tcW w:w="1915" w:type="dxa"/>
            <w:shd w:val="clear" w:color="auto" w:fill="BFBFBF" w:themeFill="background1" w:themeFillShade="BF"/>
          </w:tcPr>
          <w:p w:rsidR="00EB499C" w:rsidRPr="006509A7" w:rsidRDefault="00EB499C" w:rsidP="00F85EE6">
            <w:pPr>
              <w:rPr>
                <w:b/>
                <w:bCs/>
              </w:rPr>
            </w:pPr>
            <w:r>
              <w:rPr>
                <w:b/>
                <w:bCs/>
              </w:rPr>
              <w:t>Session o</w:t>
            </w:r>
            <w:r w:rsidRPr="006509A7">
              <w:rPr>
                <w:b/>
                <w:bCs/>
              </w:rPr>
              <w:t>utline</w:t>
            </w:r>
          </w:p>
        </w:tc>
        <w:tc>
          <w:tcPr>
            <w:tcW w:w="7463" w:type="dxa"/>
          </w:tcPr>
          <w:p w:rsidR="00F93AFC" w:rsidRDefault="008E6C49" w:rsidP="00F93AFC">
            <w:pPr>
              <w:pStyle w:val="ListParagraph"/>
              <w:numPr>
                <w:ilvl w:val="0"/>
                <w:numId w:val="7"/>
              </w:numPr>
              <w:spacing w:before="0"/>
            </w:pPr>
            <w:r>
              <w:t xml:space="preserve">Introduction and </w:t>
            </w:r>
            <w:r w:rsidR="00F93AFC">
              <w:t>Sessio</w:t>
            </w:r>
            <w:r>
              <w:t>n objectives – 5 minutes</w:t>
            </w:r>
          </w:p>
          <w:p w:rsidR="008E6C49" w:rsidRDefault="008E6C49" w:rsidP="00F93AFC">
            <w:pPr>
              <w:pStyle w:val="ListParagraph"/>
              <w:numPr>
                <w:ilvl w:val="0"/>
                <w:numId w:val="7"/>
              </w:numPr>
              <w:spacing w:before="0"/>
            </w:pPr>
            <w:r>
              <w:t xml:space="preserve">Group Exercise on gaps for people with disabilities – 10 </w:t>
            </w:r>
            <w:proofErr w:type="spellStart"/>
            <w:r>
              <w:t>mins</w:t>
            </w:r>
            <w:proofErr w:type="spellEnd"/>
          </w:p>
          <w:p w:rsidR="008E6C49" w:rsidRDefault="008E6C49" w:rsidP="00F93AFC">
            <w:pPr>
              <w:pStyle w:val="ListParagraph"/>
              <w:numPr>
                <w:ilvl w:val="0"/>
                <w:numId w:val="7"/>
              </w:numPr>
              <w:spacing w:before="0"/>
            </w:pPr>
            <w:r>
              <w:t xml:space="preserve">Disability Quiz – 5 </w:t>
            </w:r>
            <w:proofErr w:type="spellStart"/>
            <w:r>
              <w:t>mins</w:t>
            </w:r>
            <w:proofErr w:type="spellEnd"/>
          </w:p>
          <w:p w:rsidR="008E6C49" w:rsidRDefault="008E6C49" w:rsidP="00F93AFC">
            <w:pPr>
              <w:pStyle w:val="ListParagraph"/>
              <w:numPr>
                <w:ilvl w:val="0"/>
                <w:numId w:val="7"/>
              </w:numPr>
              <w:spacing w:before="0"/>
            </w:pPr>
            <w:r>
              <w:t xml:space="preserve">Brainstorming on actions to include people in disabilities in RC/RC programs and services - </w:t>
            </w:r>
            <w:r w:rsidR="00D911DF">
              <w:t>1</w:t>
            </w:r>
            <w:r>
              <w:t xml:space="preserve">5 </w:t>
            </w:r>
            <w:proofErr w:type="spellStart"/>
            <w:r>
              <w:t>mins</w:t>
            </w:r>
            <w:proofErr w:type="spellEnd"/>
          </w:p>
          <w:p w:rsidR="00EB499C" w:rsidRPr="0029698A" w:rsidRDefault="008E6C49" w:rsidP="00F85EE6">
            <w:pPr>
              <w:pStyle w:val="ListParagraph"/>
              <w:numPr>
                <w:ilvl w:val="0"/>
                <w:numId w:val="7"/>
              </w:numPr>
            </w:pPr>
            <w:r>
              <w:t xml:space="preserve">Summary and Closing – 5 </w:t>
            </w:r>
            <w:proofErr w:type="spellStart"/>
            <w:r>
              <w:t>mins</w:t>
            </w:r>
            <w:proofErr w:type="spellEnd"/>
          </w:p>
        </w:tc>
      </w:tr>
      <w:tr w:rsidR="00EB499C" w:rsidTr="00F85EE6">
        <w:tc>
          <w:tcPr>
            <w:tcW w:w="1915" w:type="dxa"/>
            <w:shd w:val="clear" w:color="auto" w:fill="BFBFBF" w:themeFill="background1" w:themeFillShade="BF"/>
          </w:tcPr>
          <w:p w:rsidR="00EB499C" w:rsidRPr="00BC3F9D" w:rsidRDefault="00EB499C" w:rsidP="00F85EE6">
            <w:pPr>
              <w:rPr>
                <w:b/>
                <w:bCs/>
              </w:rPr>
            </w:pPr>
            <w:r w:rsidRPr="00BC3F9D">
              <w:rPr>
                <w:b/>
                <w:bCs/>
              </w:rPr>
              <w:t>Additional information (optional)</w:t>
            </w:r>
          </w:p>
        </w:tc>
        <w:tc>
          <w:tcPr>
            <w:tcW w:w="7463" w:type="dxa"/>
          </w:tcPr>
          <w:p w:rsidR="00EB499C" w:rsidRDefault="001A284C" w:rsidP="00F85EE6">
            <w:r>
              <w:t xml:space="preserve">Group exercise is a powerful tool to engage participants, especially those with kinesthetic learning style. People who experience the learning are usually more motivated to apply their new knowledge in their future life. Learning by doing. </w:t>
            </w:r>
          </w:p>
        </w:tc>
      </w:tr>
    </w:tbl>
    <w:p w:rsidR="008F425E" w:rsidRDefault="008F425E"/>
    <w:sectPr w:rsidR="008F4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5D9"/>
    <w:multiLevelType w:val="hybridMultilevel"/>
    <w:tmpl w:val="76C0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1DE5"/>
    <w:multiLevelType w:val="hybridMultilevel"/>
    <w:tmpl w:val="03C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F00A4"/>
    <w:multiLevelType w:val="hybridMultilevel"/>
    <w:tmpl w:val="909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238F3"/>
    <w:multiLevelType w:val="hybridMultilevel"/>
    <w:tmpl w:val="EE62C2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CD750AB"/>
    <w:multiLevelType w:val="hybridMultilevel"/>
    <w:tmpl w:val="12F6B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40889"/>
    <w:multiLevelType w:val="hybridMultilevel"/>
    <w:tmpl w:val="4374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9C"/>
    <w:rsid w:val="000723BD"/>
    <w:rsid w:val="000A6083"/>
    <w:rsid w:val="0016662E"/>
    <w:rsid w:val="001A1C64"/>
    <w:rsid w:val="001A284C"/>
    <w:rsid w:val="0027499B"/>
    <w:rsid w:val="0029698A"/>
    <w:rsid w:val="002A4158"/>
    <w:rsid w:val="003A6C4A"/>
    <w:rsid w:val="00452492"/>
    <w:rsid w:val="004B337E"/>
    <w:rsid w:val="00720918"/>
    <w:rsid w:val="007512D6"/>
    <w:rsid w:val="008B0BE1"/>
    <w:rsid w:val="008E6C49"/>
    <w:rsid w:val="008F425E"/>
    <w:rsid w:val="00AD7D74"/>
    <w:rsid w:val="00B11598"/>
    <w:rsid w:val="00D47F36"/>
    <w:rsid w:val="00D911DF"/>
    <w:rsid w:val="00DA5BF4"/>
    <w:rsid w:val="00DA5D77"/>
    <w:rsid w:val="00EB499C"/>
    <w:rsid w:val="00F73DE7"/>
    <w:rsid w:val="00F93AFC"/>
    <w:rsid w:val="00FA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9C"/>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B499C"/>
    <w:pPr>
      <w:ind w:right="-96"/>
      <w:outlineLvl w:val="0"/>
    </w:pPr>
    <w:rPr>
      <w:rFonts w:asciiTheme="minorBidi" w:hAnsiTheme="minorBidi" w:cstheme="minorBidi"/>
      <w:b/>
      <w:bCs/>
      <w:color w:val="632423" w:themeColor="accent2" w:themeShade="8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99C"/>
    <w:rPr>
      <w:rFonts w:asciiTheme="minorBidi" w:eastAsia="Cambria" w:hAnsiTheme="minorBidi"/>
      <w:b/>
      <w:bCs/>
      <w:color w:val="632423" w:themeColor="accent2" w:themeShade="80"/>
      <w:sz w:val="48"/>
      <w:szCs w:val="48"/>
    </w:rPr>
  </w:style>
  <w:style w:type="paragraph" w:customStyle="1" w:styleId="Listbulleted1">
    <w:name w:val="List bulleted 1"/>
    <w:basedOn w:val="Normal"/>
    <w:qFormat/>
    <w:rsid w:val="00EB499C"/>
    <w:pPr>
      <w:numPr>
        <w:numId w:val="1"/>
      </w:numPr>
    </w:pPr>
  </w:style>
  <w:style w:type="paragraph" w:styleId="ListParagraph">
    <w:name w:val="List Paragraph"/>
    <w:basedOn w:val="Normal"/>
    <w:uiPriority w:val="34"/>
    <w:qFormat/>
    <w:rsid w:val="00EB499C"/>
    <w:pPr>
      <w:ind w:left="720"/>
      <w:contextualSpacing/>
    </w:pPr>
  </w:style>
  <w:style w:type="table" w:styleId="TableGrid">
    <w:name w:val="Table Grid"/>
    <w:basedOn w:val="TableNormal"/>
    <w:uiPriority w:val="59"/>
    <w:rsid w:val="00EB499C"/>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9C"/>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EB499C"/>
    <w:pPr>
      <w:ind w:right="-96"/>
      <w:outlineLvl w:val="0"/>
    </w:pPr>
    <w:rPr>
      <w:rFonts w:asciiTheme="minorBidi" w:hAnsiTheme="minorBidi" w:cstheme="minorBidi"/>
      <w:b/>
      <w:bCs/>
      <w:color w:val="632423" w:themeColor="accent2" w:themeShade="8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99C"/>
    <w:rPr>
      <w:rFonts w:asciiTheme="minorBidi" w:eastAsia="Cambria" w:hAnsiTheme="minorBidi"/>
      <w:b/>
      <w:bCs/>
      <w:color w:val="632423" w:themeColor="accent2" w:themeShade="80"/>
      <w:sz w:val="48"/>
      <w:szCs w:val="48"/>
    </w:rPr>
  </w:style>
  <w:style w:type="paragraph" w:customStyle="1" w:styleId="Listbulleted1">
    <w:name w:val="List bulleted 1"/>
    <w:basedOn w:val="Normal"/>
    <w:qFormat/>
    <w:rsid w:val="00EB499C"/>
    <w:pPr>
      <w:numPr>
        <w:numId w:val="1"/>
      </w:numPr>
    </w:pPr>
  </w:style>
  <w:style w:type="paragraph" w:styleId="ListParagraph">
    <w:name w:val="List Paragraph"/>
    <w:basedOn w:val="Normal"/>
    <w:uiPriority w:val="34"/>
    <w:qFormat/>
    <w:rsid w:val="00EB499C"/>
    <w:pPr>
      <w:ind w:left="720"/>
      <w:contextualSpacing/>
    </w:pPr>
  </w:style>
  <w:style w:type="table" w:styleId="TableGrid">
    <w:name w:val="Table Grid"/>
    <w:basedOn w:val="TableNormal"/>
    <w:uiPriority w:val="59"/>
    <w:rsid w:val="00EB499C"/>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Haneef</dc:creator>
  <cp:lastModifiedBy>Angeline Tandiono</cp:lastModifiedBy>
  <cp:revision>2</cp:revision>
  <dcterms:created xsi:type="dcterms:W3CDTF">2015-10-06T09:51:00Z</dcterms:created>
  <dcterms:modified xsi:type="dcterms:W3CDTF">2015-10-06T09:51:00Z</dcterms:modified>
</cp:coreProperties>
</file>