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B9" w:rsidRDefault="008828B9" w:rsidP="00A31791">
      <w:pPr>
        <w:jc w:val="center"/>
        <w:rPr>
          <w:b/>
          <w:bCs/>
          <w:sz w:val="28"/>
          <w:szCs w:val="28"/>
        </w:rPr>
      </w:pPr>
      <w:r w:rsidRPr="007A5F3D">
        <w:rPr>
          <w:b/>
          <w:bCs/>
          <w:sz w:val="28"/>
          <w:szCs w:val="28"/>
        </w:rPr>
        <w:t xml:space="preserve">Disaster Law </w:t>
      </w:r>
      <w:r w:rsidR="007A5F3D">
        <w:rPr>
          <w:b/>
          <w:bCs/>
          <w:sz w:val="28"/>
          <w:szCs w:val="28"/>
        </w:rPr>
        <w:t xml:space="preserve">Overview </w:t>
      </w:r>
      <w:r w:rsidR="001A161E">
        <w:rPr>
          <w:b/>
          <w:bCs/>
          <w:sz w:val="28"/>
          <w:szCs w:val="28"/>
        </w:rPr>
        <w:t>–</w:t>
      </w:r>
      <w:r w:rsidR="007A5F3D">
        <w:rPr>
          <w:b/>
          <w:bCs/>
          <w:sz w:val="28"/>
          <w:szCs w:val="28"/>
        </w:rPr>
        <w:t xml:space="preserve"> </w:t>
      </w:r>
      <w:r w:rsidR="00A31791">
        <w:rPr>
          <w:b/>
          <w:bCs/>
          <w:sz w:val="28"/>
          <w:szCs w:val="28"/>
        </w:rPr>
        <w:t>Malaysia</w:t>
      </w:r>
    </w:p>
    <w:p w:rsidR="001A161E" w:rsidRPr="007A5F3D" w:rsidRDefault="001A161E" w:rsidP="007A5F3D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6379"/>
      </w:tblGrid>
      <w:tr w:rsidR="008828B9" w:rsidTr="00A31791">
        <w:tc>
          <w:tcPr>
            <w:tcW w:w="4219" w:type="dxa"/>
          </w:tcPr>
          <w:p w:rsidR="008828B9" w:rsidRPr="001A161E" w:rsidRDefault="008828B9" w:rsidP="007A5F3D">
            <w:pPr>
              <w:rPr>
                <w:rFonts w:cstheme="minorHAnsi"/>
                <w:sz w:val="24"/>
                <w:szCs w:val="24"/>
              </w:rPr>
            </w:pPr>
            <w:r w:rsidRPr="001A161E">
              <w:rPr>
                <w:rFonts w:cstheme="minorHAnsi"/>
                <w:sz w:val="24"/>
                <w:szCs w:val="24"/>
              </w:rPr>
              <w:t>Legal Framework for Disaster M</w:t>
            </w:r>
            <w:r w:rsidR="007A5F3D" w:rsidRPr="001A161E">
              <w:rPr>
                <w:rFonts w:cstheme="minorHAnsi"/>
                <w:sz w:val="24"/>
                <w:szCs w:val="24"/>
              </w:rPr>
              <w:t>anagement</w:t>
            </w:r>
            <w:r w:rsidR="00B42E6E">
              <w:rPr>
                <w:rFonts w:cstheme="minorHAnsi"/>
                <w:sz w:val="24"/>
                <w:szCs w:val="24"/>
              </w:rPr>
              <w:t xml:space="preserve"> and Response</w:t>
            </w:r>
          </w:p>
        </w:tc>
        <w:tc>
          <w:tcPr>
            <w:tcW w:w="6379" w:type="dxa"/>
          </w:tcPr>
          <w:p w:rsidR="008828B9" w:rsidRPr="00A31791" w:rsidRDefault="007B349F" w:rsidP="00D630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There are</w:t>
            </w:r>
            <w:r w:rsidR="00A31791">
              <w:rPr>
                <w:rFonts w:cstheme="minorHAnsi"/>
                <w:sz w:val="24"/>
                <w:szCs w:val="24"/>
              </w:rPr>
              <w:t xml:space="preserve"> no disaster management act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A31791">
              <w:rPr>
                <w:rFonts w:cstheme="minorHAnsi"/>
                <w:sz w:val="24"/>
                <w:szCs w:val="24"/>
              </w:rPr>
              <w:t xml:space="preserve"> with legal effect</w:t>
            </w:r>
            <w:r w:rsidR="00D63067">
              <w:rPr>
                <w:rFonts w:cstheme="minorHAnsi"/>
                <w:sz w:val="24"/>
                <w:szCs w:val="24"/>
              </w:rPr>
              <w:t xml:space="preserve"> </w:t>
            </w:r>
            <w:r w:rsidR="00A31791">
              <w:rPr>
                <w:rFonts w:cstheme="minorHAnsi"/>
                <w:sz w:val="24"/>
                <w:szCs w:val="24"/>
              </w:rPr>
              <w:t>to date</w:t>
            </w:r>
            <w:r w:rsidR="00B42E6E">
              <w:rPr>
                <w:rFonts w:cstheme="minorHAnsi"/>
                <w:sz w:val="24"/>
                <w:szCs w:val="24"/>
              </w:rPr>
              <w:t xml:space="preserve"> (to the knowledge of the IFRC)</w:t>
            </w:r>
            <w:r w:rsidR="00A31791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828B9" w:rsidTr="00A31791">
        <w:tc>
          <w:tcPr>
            <w:tcW w:w="4219" w:type="dxa"/>
          </w:tcPr>
          <w:p w:rsidR="008828B9" w:rsidRPr="001A161E" w:rsidRDefault="009B4379">
            <w:pPr>
              <w:rPr>
                <w:rFonts w:cstheme="minorHAnsi"/>
                <w:sz w:val="24"/>
                <w:szCs w:val="24"/>
              </w:rPr>
            </w:pPr>
            <w:r w:rsidRPr="001A161E">
              <w:rPr>
                <w:rFonts w:cstheme="minorHAnsi"/>
                <w:sz w:val="24"/>
                <w:szCs w:val="24"/>
              </w:rPr>
              <w:t>Operational DM</w:t>
            </w:r>
            <w:r w:rsidR="004758EE" w:rsidRPr="001A161E">
              <w:rPr>
                <w:rFonts w:cstheme="minorHAnsi"/>
                <w:sz w:val="24"/>
                <w:szCs w:val="24"/>
              </w:rPr>
              <w:t xml:space="preserve"> Frameworks (</w:t>
            </w:r>
            <w:r w:rsidR="00B42E6E">
              <w:rPr>
                <w:rFonts w:cstheme="minorHAnsi"/>
                <w:sz w:val="24"/>
                <w:szCs w:val="24"/>
              </w:rPr>
              <w:t xml:space="preserve">e.g. </w:t>
            </w:r>
            <w:r w:rsidR="004758EE" w:rsidRPr="001A161E">
              <w:rPr>
                <w:rFonts w:cstheme="minorHAnsi"/>
                <w:sz w:val="24"/>
                <w:szCs w:val="24"/>
              </w:rPr>
              <w:t>SOPS</w:t>
            </w:r>
            <w:r w:rsidR="00B42E6E">
              <w:rPr>
                <w:rFonts w:cstheme="minorHAnsi"/>
                <w:sz w:val="24"/>
                <w:szCs w:val="24"/>
              </w:rPr>
              <w:t xml:space="preserve"> and other non-binding instruments</w:t>
            </w:r>
            <w:r w:rsidR="004758EE" w:rsidRPr="001A161E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A31791" w:rsidRDefault="00A31791" w:rsidP="00A31791">
            <w:p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Policy and Mechanism on National Disaster and Relief Management which contains directives that relate to disasters and relief management such as:</w:t>
            </w:r>
          </w:p>
          <w:p w:rsidR="00A31791" w:rsidRDefault="00A31791" w:rsidP="00A31791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  <w:r w:rsidRPr="00A31791">
              <w:rPr>
                <w:rFonts w:cstheme="minorHAnsi"/>
                <w:b/>
                <w:bCs/>
                <w:sz w:val="24"/>
                <w:szCs w:val="24"/>
              </w:rPr>
              <w:t>Directive 18</w:t>
            </w:r>
            <w:r>
              <w:rPr>
                <w:rFonts w:cstheme="minorHAnsi"/>
                <w:sz w:val="24"/>
                <w:szCs w:val="24"/>
              </w:rPr>
              <w:t xml:space="preserve"> for relief and management of disasters resulting from terrorist action</w:t>
            </w:r>
          </w:p>
          <w:p w:rsidR="00A31791" w:rsidRDefault="00A31791" w:rsidP="00A31791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  <w:r w:rsidRPr="00A31791">
              <w:rPr>
                <w:rFonts w:cstheme="minorHAnsi"/>
                <w:b/>
                <w:bCs/>
                <w:sz w:val="24"/>
                <w:szCs w:val="24"/>
              </w:rPr>
              <w:t>Directive 19</w:t>
            </w:r>
            <w:r>
              <w:rPr>
                <w:rFonts w:cstheme="minorHAnsi"/>
                <w:sz w:val="24"/>
                <w:szCs w:val="24"/>
              </w:rPr>
              <w:t xml:space="preserve"> for establishing a special unit called Special Malaysia Disaster Assistance and Rescue Team (SMART) </w:t>
            </w:r>
          </w:p>
          <w:p w:rsidR="00A31791" w:rsidRPr="00A31791" w:rsidRDefault="00A31791" w:rsidP="00D63067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  <w:r w:rsidRPr="00A31791">
              <w:rPr>
                <w:rFonts w:cstheme="minorHAnsi"/>
                <w:b/>
                <w:bCs/>
                <w:sz w:val="24"/>
                <w:szCs w:val="24"/>
              </w:rPr>
              <w:t>Directive 20</w:t>
            </w:r>
            <w:r>
              <w:rPr>
                <w:rFonts w:cstheme="minorHAnsi"/>
                <w:sz w:val="24"/>
                <w:szCs w:val="24"/>
              </w:rPr>
              <w:t xml:space="preserve"> for relief and management of natural disasters. </w:t>
            </w:r>
            <w:r w:rsidR="00C138ED">
              <w:rPr>
                <w:rFonts w:cstheme="minorHAnsi"/>
                <w:sz w:val="24"/>
                <w:szCs w:val="24"/>
              </w:rPr>
              <w:t>O</w:t>
            </w:r>
            <w:r w:rsidR="00C138ED" w:rsidRPr="00C138ED">
              <w:rPr>
                <w:rFonts w:cstheme="minorHAnsi"/>
                <w:sz w:val="24"/>
                <w:szCs w:val="24"/>
              </w:rPr>
              <w:t>utlines the roles and responsibilities of agencies at three levels namely the national, state and district levels</w:t>
            </w:r>
            <w:r w:rsidR="00C138ED">
              <w:rPr>
                <w:rFonts w:cstheme="minorHAnsi"/>
                <w:sz w:val="24"/>
                <w:szCs w:val="24"/>
              </w:rPr>
              <w:t>.</w:t>
            </w:r>
            <w:r w:rsidR="00C138ED" w:rsidRPr="00C138E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="00B42E6E">
              <w:rPr>
                <w:rFonts w:cstheme="minorHAnsi"/>
                <w:sz w:val="24"/>
                <w:szCs w:val="24"/>
              </w:rPr>
              <w:t>this is</w:t>
            </w:r>
            <w:r>
              <w:rPr>
                <w:rFonts w:cstheme="minorHAnsi"/>
                <w:sz w:val="24"/>
                <w:szCs w:val="24"/>
              </w:rPr>
              <w:t xml:space="preserve"> actually an executive order by the Prime Minister </w:t>
            </w:r>
            <w:r w:rsidR="00B42E6E">
              <w:rPr>
                <w:rFonts w:cstheme="minorHAnsi"/>
                <w:sz w:val="24"/>
                <w:szCs w:val="24"/>
              </w:rPr>
              <w:t>in place of</w:t>
            </w:r>
            <w:r w:rsidR="00D63067"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Standard Operating Procedure</w:t>
            </w:r>
            <w:r w:rsidR="00B42E6E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(SOP) </w:t>
            </w:r>
            <w:r w:rsidR="00B42E6E">
              <w:rPr>
                <w:rFonts w:cstheme="minorHAnsi"/>
                <w:sz w:val="24"/>
                <w:szCs w:val="24"/>
              </w:rPr>
              <w:t xml:space="preserve">which </w:t>
            </w:r>
            <w:r>
              <w:rPr>
                <w:rFonts w:cstheme="minorHAnsi"/>
                <w:sz w:val="24"/>
                <w:szCs w:val="24"/>
              </w:rPr>
              <w:t>stipulates the procedures to take place in times of disaster.)</w:t>
            </w:r>
          </w:p>
        </w:tc>
      </w:tr>
      <w:tr w:rsidR="008828B9" w:rsidTr="00A31791">
        <w:tc>
          <w:tcPr>
            <w:tcW w:w="4219" w:type="dxa"/>
          </w:tcPr>
          <w:p w:rsidR="008828B9" w:rsidRPr="001A161E" w:rsidRDefault="00B42E6E" w:rsidP="00475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National Disaster Management Agency (or other lead Government Agency for disaster management or disaster law)</w:t>
            </w:r>
          </w:p>
        </w:tc>
        <w:tc>
          <w:tcPr>
            <w:tcW w:w="6379" w:type="dxa"/>
          </w:tcPr>
          <w:p w:rsidR="009D02C2" w:rsidRPr="001A161E" w:rsidRDefault="00C138ED" w:rsidP="007B34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National Securit</w:t>
            </w:r>
            <w:r w:rsidR="00B42E6E">
              <w:rPr>
                <w:rFonts w:cstheme="minorHAnsi"/>
                <w:sz w:val="24"/>
                <w:szCs w:val="24"/>
              </w:rPr>
              <w:t>y</w:t>
            </w:r>
            <w:r>
              <w:rPr>
                <w:rFonts w:cstheme="minorHAnsi"/>
                <w:sz w:val="24"/>
                <w:szCs w:val="24"/>
              </w:rPr>
              <w:t xml:space="preserve"> Council (‘</w:t>
            </w:r>
            <w:proofErr w:type="spellStart"/>
            <w:r>
              <w:rPr>
                <w:rFonts w:cstheme="minorHAnsi"/>
                <w:sz w:val="24"/>
                <w:szCs w:val="24"/>
              </w:rPr>
              <w:t>Majlis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Keselamatan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Negara’ (MKN))</w:t>
            </w:r>
          </w:p>
        </w:tc>
      </w:tr>
      <w:tr w:rsidR="005A6EA7" w:rsidTr="00A31791">
        <w:tc>
          <w:tcPr>
            <w:tcW w:w="4219" w:type="dxa"/>
          </w:tcPr>
          <w:p w:rsidR="005A6EA7" w:rsidRPr="001A161E" w:rsidRDefault="00B42E6E" w:rsidP="00475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relevant lead agencies </w:t>
            </w:r>
          </w:p>
        </w:tc>
        <w:tc>
          <w:tcPr>
            <w:tcW w:w="6379" w:type="dxa"/>
          </w:tcPr>
          <w:p w:rsidR="005A6EA7" w:rsidRDefault="005A6EA7" w:rsidP="00C138E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6EA7">
              <w:rPr>
                <w:rFonts w:cstheme="minorHAnsi"/>
                <w:b/>
                <w:bCs/>
                <w:sz w:val="24"/>
                <w:szCs w:val="24"/>
              </w:rPr>
              <w:t>Maritime Disaster</w:t>
            </w:r>
            <w:r w:rsidR="00381021"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  <w:p w:rsidR="005A6EA7" w:rsidRDefault="005A6EA7" w:rsidP="005A6EA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5A6EA7">
              <w:rPr>
                <w:rFonts w:cstheme="minorHAnsi"/>
                <w:sz w:val="24"/>
                <w:szCs w:val="24"/>
              </w:rPr>
              <w:t>Maritime accidents and emergencies involving loss of lives and property damage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5A6EA7">
              <w:rPr>
                <w:rFonts w:cstheme="minorHAnsi"/>
                <w:b/>
                <w:bCs/>
                <w:sz w:val="24"/>
                <w:szCs w:val="24"/>
              </w:rPr>
              <w:t>Malaysian Maritime Enforcement Agency (MMEA)</w:t>
            </w:r>
          </w:p>
          <w:p w:rsidR="005A6EA7" w:rsidRPr="00381021" w:rsidRDefault="005A6EA7" w:rsidP="005A6EA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Oil spills and accidents involving pollution or destruction of the maritime environment: </w:t>
            </w:r>
            <w:r w:rsidRPr="005A6EA7">
              <w:rPr>
                <w:rFonts w:cstheme="minorHAnsi"/>
                <w:b/>
                <w:bCs/>
                <w:sz w:val="24"/>
                <w:szCs w:val="24"/>
              </w:rPr>
              <w:t>Department of Environment (DOE)</w:t>
            </w:r>
          </w:p>
          <w:p w:rsidR="00381021" w:rsidRDefault="00381021" w:rsidP="0038102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Air Disasters</w:t>
            </w:r>
          </w:p>
          <w:p w:rsidR="00381021" w:rsidRPr="00CF50D3" w:rsidRDefault="00381021" w:rsidP="0038102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381021">
              <w:rPr>
                <w:rFonts w:cstheme="minorHAnsi"/>
                <w:sz w:val="24"/>
                <w:szCs w:val="24"/>
              </w:rPr>
              <w:t>Incidents of air disasters involving aircrafts: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1021">
              <w:rPr>
                <w:rFonts w:cstheme="minorHAnsi"/>
                <w:b/>
                <w:bCs/>
                <w:sz w:val="24"/>
                <w:szCs w:val="24"/>
              </w:rPr>
              <w:t>Department of Civil Aviation, Ministry of Transport</w:t>
            </w:r>
          </w:p>
          <w:p w:rsidR="00381021" w:rsidRPr="00CF50D3" w:rsidRDefault="00CF50D3" w:rsidP="00CF50D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CF50D3">
              <w:rPr>
                <w:rFonts w:cstheme="minorHAnsi"/>
                <w:sz w:val="24"/>
                <w:szCs w:val="24"/>
              </w:rPr>
              <w:t>Air accidents or emergencies which occur in highly populated areas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F50D3">
              <w:rPr>
                <w:rFonts w:cstheme="minorHAnsi"/>
                <w:sz w:val="24"/>
                <w:szCs w:val="24"/>
              </w:rPr>
              <w:t xml:space="preserve">are subject to </w:t>
            </w:r>
            <w:r w:rsidRPr="00CF50D3">
              <w:rPr>
                <w:rFonts w:cstheme="minorHAnsi"/>
                <w:b/>
                <w:bCs/>
                <w:sz w:val="24"/>
                <w:szCs w:val="24"/>
              </w:rPr>
              <w:t>Directive 20</w:t>
            </w:r>
          </w:p>
          <w:p w:rsidR="00CF50D3" w:rsidRDefault="00CF50D3" w:rsidP="00CF50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F50D3">
              <w:rPr>
                <w:rFonts w:cstheme="minorHAnsi"/>
                <w:b/>
                <w:bCs/>
                <w:sz w:val="24"/>
                <w:szCs w:val="24"/>
              </w:rPr>
              <w:t>Chemical, Radiological and Nuclear Accidents</w:t>
            </w:r>
          </w:p>
          <w:p w:rsidR="00CF50D3" w:rsidRDefault="00CF50D3" w:rsidP="00CF50D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CF50D3">
              <w:rPr>
                <w:rFonts w:cstheme="minorHAnsi"/>
                <w:sz w:val="24"/>
                <w:szCs w:val="24"/>
              </w:rPr>
              <w:t xml:space="preserve">adiological and nuclear 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CF50D3">
              <w:rPr>
                <w:rFonts w:cstheme="minorHAnsi"/>
                <w:sz w:val="24"/>
                <w:szCs w:val="24"/>
              </w:rPr>
              <w:t>isasters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CF50D3">
              <w:rPr>
                <w:rFonts w:cstheme="minorHAnsi"/>
                <w:b/>
                <w:bCs/>
                <w:sz w:val="24"/>
                <w:szCs w:val="24"/>
              </w:rPr>
              <w:t>The Atomic Energy Licensing Board (AELB)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F50D3">
              <w:rPr>
                <w:rFonts w:cstheme="minorHAnsi"/>
                <w:sz w:val="24"/>
                <w:szCs w:val="24"/>
              </w:rPr>
              <w:t>is responsible</w:t>
            </w:r>
            <w:r>
              <w:rPr>
                <w:rFonts w:cstheme="minorHAnsi"/>
                <w:sz w:val="24"/>
                <w:szCs w:val="24"/>
              </w:rPr>
              <w:t xml:space="preserve"> to provide</w:t>
            </w:r>
            <w:r w:rsidRPr="00CF50D3">
              <w:rPr>
                <w:rFonts w:cstheme="minorHAnsi"/>
                <w:sz w:val="24"/>
                <w:szCs w:val="24"/>
              </w:rPr>
              <w:t xml:space="preserve"> expertise and technical support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CF50D3" w:rsidRDefault="00CF50D3" w:rsidP="00CF50D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CF50D3">
              <w:rPr>
                <w:rFonts w:cstheme="minorHAnsi"/>
                <w:sz w:val="24"/>
                <w:szCs w:val="24"/>
              </w:rPr>
              <w:t xml:space="preserve">Disasters caused by chemical, radiological and nuclear or hazardous material accidents/mishaps are handled by the </w:t>
            </w:r>
            <w:r w:rsidRPr="00CF50D3">
              <w:rPr>
                <w:rFonts w:cstheme="minorHAnsi"/>
                <w:b/>
                <w:bCs/>
                <w:sz w:val="24"/>
                <w:szCs w:val="24"/>
              </w:rPr>
              <w:t>Fire and Rescue Department of Malaysia (FRDM)</w:t>
            </w:r>
            <w:r w:rsidRPr="00CF50D3">
              <w:rPr>
                <w:rFonts w:cstheme="minorHAnsi"/>
                <w:sz w:val="24"/>
                <w:szCs w:val="24"/>
              </w:rPr>
              <w:t xml:space="preserve"> as main Rescue Agency. </w:t>
            </w:r>
          </w:p>
          <w:p w:rsidR="007B349F" w:rsidRDefault="007B349F" w:rsidP="007B349F">
            <w:pPr>
              <w:rPr>
                <w:rFonts w:cstheme="minorHAnsi"/>
                <w:sz w:val="24"/>
                <w:szCs w:val="24"/>
              </w:rPr>
            </w:pPr>
            <w:r w:rsidRPr="007B349F">
              <w:rPr>
                <w:rFonts w:cstheme="minorHAnsi"/>
                <w:b/>
                <w:bCs/>
                <w:sz w:val="24"/>
                <w:szCs w:val="24"/>
              </w:rPr>
              <w:t>Uncontrollable spread of inf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ectious diseases/pandemics and d</w:t>
            </w:r>
            <w:r w:rsidRPr="007B349F">
              <w:rPr>
                <w:rFonts w:cstheme="minorHAnsi"/>
                <w:b/>
                <w:bCs/>
                <w:sz w:val="24"/>
                <w:szCs w:val="24"/>
              </w:rPr>
              <w:t>isasters caused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B349F">
              <w:rPr>
                <w:rFonts w:cstheme="minorHAnsi"/>
                <w:b/>
                <w:bCs/>
                <w:sz w:val="24"/>
                <w:szCs w:val="24"/>
              </w:rPr>
              <w:t>by biological accidents</w:t>
            </w:r>
            <w:r w:rsidRPr="007B349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B349F" w:rsidRPr="007B349F" w:rsidRDefault="007B349F" w:rsidP="007B349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7B349F">
              <w:rPr>
                <w:rFonts w:cstheme="minorHAnsi"/>
                <w:sz w:val="24"/>
                <w:szCs w:val="24"/>
              </w:rPr>
              <w:t xml:space="preserve">The </w:t>
            </w:r>
            <w:r w:rsidRPr="007B349F">
              <w:rPr>
                <w:rFonts w:cstheme="minorHAnsi"/>
                <w:b/>
                <w:bCs/>
                <w:sz w:val="24"/>
                <w:szCs w:val="24"/>
              </w:rPr>
              <w:t>Ministry of Health, Malaysia (MOH)</w:t>
            </w:r>
          </w:p>
        </w:tc>
      </w:tr>
      <w:tr w:rsidR="005A6EA7" w:rsidTr="00A31791">
        <w:tc>
          <w:tcPr>
            <w:tcW w:w="4219" w:type="dxa"/>
          </w:tcPr>
          <w:p w:rsidR="005A6EA7" w:rsidRDefault="005A6EA7" w:rsidP="00475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Main Guidelines</w:t>
            </w:r>
          </w:p>
        </w:tc>
        <w:tc>
          <w:tcPr>
            <w:tcW w:w="6379" w:type="dxa"/>
          </w:tcPr>
          <w:p w:rsidR="005A6EA7" w:rsidRDefault="005A6EA7" w:rsidP="00C138E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Maritime Disasters</w:t>
            </w:r>
          </w:p>
          <w:p w:rsidR="005A6EA7" w:rsidRDefault="005A6EA7" w:rsidP="005A6EA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5A6EA7">
              <w:rPr>
                <w:rFonts w:cstheme="minorHAnsi"/>
                <w:sz w:val="24"/>
                <w:szCs w:val="24"/>
              </w:rPr>
              <w:t>Maritime accidents and emergencies involving loss of lives and property damage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5A6EA7">
              <w:rPr>
                <w:rFonts w:cstheme="minorHAnsi"/>
                <w:b/>
                <w:bCs/>
                <w:sz w:val="24"/>
                <w:szCs w:val="24"/>
              </w:rPr>
              <w:t>International Aeronautical and Maritime Search and Rescue (IAMSAR) Malaysia Volume IV</w:t>
            </w:r>
          </w:p>
          <w:p w:rsidR="005A6EA7" w:rsidRPr="00381021" w:rsidRDefault="005A6EA7" w:rsidP="005A6EA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Oil spills and accidents involving pollution or destruction of the maritime environment: </w:t>
            </w:r>
            <w:r w:rsidRPr="005A6EA7">
              <w:rPr>
                <w:rFonts w:cstheme="minorHAnsi"/>
                <w:b/>
                <w:bCs/>
                <w:sz w:val="24"/>
                <w:szCs w:val="24"/>
              </w:rPr>
              <w:t>National Oil Spill Contingency Plan (NOSCP)</w:t>
            </w:r>
          </w:p>
          <w:p w:rsidR="00381021" w:rsidRDefault="00CF50D3" w:rsidP="00CF50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Air Disasters</w:t>
            </w:r>
          </w:p>
          <w:p w:rsidR="00CF50D3" w:rsidRPr="003E5EAD" w:rsidRDefault="00CF50D3" w:rsidP="00CF50D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3E5EAD">
              <w:rPr>
                <w:rFonts w:cstheme="minorHAnsi"/>
                <w:b/>
                <w:bCs/>
                <w:sz w:val="24"/>
                <w:szCs w:val="24"/>
              </w:rPr>
              <w:t>National Search and Rescue Manual, IAMSAR Malaysia Volume IV</w:t>
            </w:r>
          </w:p>
          <w:p w:rsidR="00CF50D3" w:rsidRPr="007B349F" w:rsidRDefault="00CF50D3" w:rsidP="007B349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CF50D3">
              <w:rPr>
                <w:rFonts w:cstheme="minorHAnsi"/>
                <w:sz w:val="24"/>
                <w:szCs w:val="24"/>
              </w:rPr>
              <w:t>Air accidents or emergencies which occur in highly populated areas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F50D3">
              <w:rPr>
                <w:rFonts w:cstheme="minorHAnsi"/>
                <w:sz w:val="24"/>
                <w:szCs w:val="24"/>
              </w:rPr>
              <w:t xml:space="preserve">are subject to </w:t>
            </w:r>
            <w:r w:rsidRPr="00CF50D3">
              <w:rPr>
                <w:rFonts w:cstheme="minorHAnsi"/>
                <w:b/>
                <w:bCs/>
                <w:sz w:val="24"/>
                <w:szCs w:val="24"/>
              </w:rPr>
              <w:t>Directive 20</w:t>
            </w:r>
          </w:p>
          <w:p w:rsidR="007B349F" w:rsidRDefault="007B349F" w:rsidP="007B349F">
            <w:pPr>
              <w:rPr>
                <w:rFonts w:cstheme="minorHAnsi"/>
                <w:sz w:val="24"/>
                <w:szCs w:val="24"/>
              </w:rPr>
            </w:pPr>
            <w:r w:rsidRPr="007B349F">
              <w:rPr>
                <w:rFonts w:cstheme="minorHAnsi"/>
                <w:b/>
                <w:bCs/>
                <w:sz w:val="24"/>
                <w:szCs w:val="24"/>
              </w:rPr>
              <w:t>Uncontrollable spread of infectious diseases/pandemics and Disasters caused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B349F">
              <w:rPr>
                <w:rFonts w:cstheme="minorHAnsi"/>
                <w:b/>
                <w:bCs/>
                <w:sz w:val="24"/>
                <w:szCs w:val="24"/>
              </w:rPr>
              <w:t>by biological accidents</w:t>
            </w:r>
            <w:r w:rsidRPr="007B349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B349F" w:rsidRPr="007B349F" w:rsidRDefault="007B349F" w:rsidP="007B349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Directive 20</w:t>
            </w:r>
          </w:p>
        </w:tc>
      </w:tr>
      <w:tr w:rsidR="009B4379" w:rsidTr="00946357">
        <w:tc>
          <w:tcPr>
            <w:tcW w:w="4219" w:type="dxa"/>
          </w:tcPr>
          <w:p w:rsidR="009B4379" w:rsidRPr="001A161E" w:rsidRDefault="007B34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Role of </w:t>
            </w:r>
            <w:r w:rsidR="0001629D">
              <w:rPr>
                <w:rFonts w:cstheme="minorHAnsi"/>
                <w:sz w:val="24"/>
                <w:szCs w:val="24"/>
              </w:rPr>
              <w:t>Malaysian Red Crescent Society (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="009B4379" w:rsidRPr="001A161E">
              <w:rPr>
                <w:rFonts w:cstheme="minorHAnsi"/>
                <w:sz w:val="24"/>
                <w:szCs w:val="24"/>
              </w:rPr>
              <w:t>RCS</w:t>
            </w:r>
            <w:r w:rsidR="0001629D">
              <w:rPr>
                <w:rFonts w:cstheme="minorHAnsi"/>
                <w:sz w:val="24"/>
                <w:szCs w:val="24"/>
              </w:rPr>
              <w:t>)</w:t>
            </w:r>
            <w:r w:rsidR="009B4379" w:rsidRPr="001A161E">
              <w:rPr>
                <w:rFonts w:cstheme="minorHAnsi"/>
                <w:sz w:val="24"/>
                <w:szCs w:val="24"/>
              </w:rPr>
              <w:t xml:space="preserve"> in national</w:t>
            </w:r>
            <w:r w:rsidR="00B42E6E">
              <w:rPr>
                <w:rFonts w:cstheme="minorHAnsi"/>
                <w:sz w:val="24"/>
                <w:szCs w:val="24"/>
              </w:rPr>
              <w:t xml:space="preserve"> disaster management</w:t>
            </w:r>
            <w:r w:rsidR="009B4379" w:rsidRPr="001A161E">
              <w:rPr>
                <w:rFonts w:cstheme="minorHAnsi"/>
                <w:sz w:val="24"/>
                <w:szCs w:val="24"/>
              </w:rPr>
              <w:t xml:space="preserve"> </w:t>
            </w:r>
            <w:r w:rsidR="0060318E" w:rsidRPr="001A161E">
              <w:rPr>
                <w:rFonts w:cstheme="minorHAnsi"/>
                <w:sz w:val="24"/>
                <w:szCs w:val="24"/>
              </w:rPr>
              <w:t>arrangements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01629D" w:rsidRDefault="0001629D" w:rsidP="00417E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 provided for i</w:t>
            </w:r>
            <w:r w:rsidR="00417EEF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 xml:space="preserve"> Directive 20</w:t>
            </w:r>
          </w:p>
          <w:p w:rsidR="009B4379" w:rsidRDefault="0001629D" w:rsidP="000162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629D">
              <w:rPr>
                <w:rFonts w:cstheme="minorHAnsi"/>
                <w:sz w:val="24"/>
                <w:szCs w:val="24"/>
              </w:rPr>
              <w:t>Assist the Social Welfare Departme</w:t>
            </w:r>
            <w:r>
              <w:rPr>
                <w:rFonts w:cstheme="minorHAnsi"/>
                <w:sz w:val="24"/>
                <w:szCs w:val="24"/>
              </w:rPr>
              <w:t>nt to manage evacuation centres,</w:t>
            </w:r>
            <w:r w:rsidRPr="0001629D">
              <w:rPr>
                <w:rFonts w:cstheme="minorHAnsi"/>
                <w:sz w:val="24"/>
                <w:szCs w:val="24"/>
              </w:rPr>
              <w:t xml:space="preserve">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1629D">
              <w:rPr>
                <w:rFonts w:cstheme="minorHAnsi"/>
                <w:sz w:val="24"/>
                <w:szCs w:val="24"/>
              </w:rPr>
              <w:t xml:space="preserve">prepare food, provide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01629D">
              <w:rPr>
                <w:rFonts w:cstheme="minorHAnsi"/>
                <w:sz w:val="24"/>
                <w:szCs w:val="24"/>
              </w:rPr>
              <w:t>lothing, blankets as w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01629D">
              <w:rPr>
                <w:rFonts w:cstheme="minorHAnsi"/>
                <w:sz w:val="24"/>
                <w:szCs w:val="24"/>
              </w:rPr>
              <w:t>ll as carry out regi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01629D">
              <w:rPr>
                <w:rFonts w:cstheme="minorHAnsi"/>
                <w:sz w:val="24"/>
                <w:szCs w:val="24"/>
              </w:rPr>
              <w:t>tration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1629D">
              <w:rPr>
                <w:rFonts w:cstheme="minorHAnsi"/>
                <w:sz w:val="24"/>
                <w:szCs w:val="24"/>
              </w:rPr>
              <w:t>rehabilitation for the victims.</w:t>
            </w:r>
          </w:p>
          <w:p w:rsidR="0001629D" w:rsidRPr="0001629D" w:rsidRDefault="0001629D" w:rsidP="000162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629D">
              <w:rPr>
                <w:rFonts w:cstheme="minorHAnsi"/>
                <w:sz w:val="24"/>
                <w:szCs w:val="24"/>
              </w:rPr>
              <w:t>Assist other agenc</w:t>
            </w:r>
            <w:r>
              <w:rPr>
                <w:rFonts w:cstheme="minorHAnsi"/>
                <w:sz w:val="24"/>
                <w:szCs w:val="24"/>
              </w:rPr>
              <w:t>ies in rescuing and evacuating d</w:t>
            </w:r>
            <w:r w:rsidRPr="0001629D">
              <w:rPr>
                <w:rFonts w:cstheme="minorHAnsi"/>
                <w:sz w:val="24"/>
                <w:szCs w:val="24"/>
              </w:rPr>
              <w:t>isaster victims.</w:t>
            </w:r>
          </w:p>
          <w:p w:rsidR="0001629D" w:rsidRPr="001A161E" w:rsidRDefault="0001629D" w:rsidP="000162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Assis</w:t>
            </w:r>
            <w:r w:rsidRPr="0001629D">
              <w:rPr>
                <w:rFonts w:cstheme="minorHAnsi"/>
                <w:sz w:val="24"/>
                <w:szCs w:val="24"/>
              </w:rPr>
              <w:t>t the MOH in providing emergency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1629D">
              <w:rPr>
                <w:rFonts w:cstheme="minorHAnsi"/>
                <w:sz w:val="24"/>
                <w:szCs w:val="24"/>
              </w:rPr>
              <w:t>assistance and other emergency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1629D">
              <w:rPr>
                <w:rFonts w:cstheme="minorHAnsi"/>
                <w:sz w:val="24"/>
                <w:szCs w:val="24"/>
              </w:rPr>
              <w:t xml:space="preserve">health 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01629D">
              <w:rPr>
                <w:rFonts w:cstheme="minorHAnsi"/>
                <w:sz w:val="24"/>
                <w:szCs w:val="24"/>
              </w:rPr>
              <w:t>ssistance at evacuation centres.</w:t>
            </w:r>
          </w:p>
        </w:tc>
      </w:tr>
      <w:tr w:rsidR="00946357" w:rsidTr="00946357">
        <w:tc>
          <w:tcPr>
            <w:tcW w:w="4219" w:type="dxa"/>
            <w:vMerge w:val="restart"/>
            <w:tcBorders>
              <w:right w:val="single" w:sz="4" w:space="0" w:color="auto"/>
            </w:tcBorders>
          </w:tcPr>
          <w:p w:rsidR="00946357" w:rsidRPr="005671D3" w:rsidRDefault="001B7438" w:rsidP="00A31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Cross</w:t>
            </w:r>
            <w:r w:rsidR="00946357">
              <w:rPr>
                <w:sz w:val="24"/>
                <w:szCs w:val="24"/>
              </w:rPr>
              <w:t xml:space="preserve"> Law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357" w:rsidRPr="005671D3" w:rsidRDefault="00D63067" w:rsidP="0060318E">
            <w:pPr>
              <w:rPr>
                <w:sz w:val="24"/>
                <w:szCs w:val="24"/>
              </w:rPr>
            </w:pPr>
            <w:hyperlink r:id="rId7" w:history="1">
              <w:r w:rsidR="00946357" w:rsidRPr="005E48EE">
                <w:rPr>
                  <w:rStyle w:val="Hyperlink"/>
                  <w:sz w:val="24"/>
                  <w:szCs w:val="24"/>
                </w:rPr>
                <w:t>Act 540 Malaysian Red Crescent Society (Incorporation) Act 1965</w:t>
              </w:r>
            </w:hyperlink>
          </w:p>
        </w:tc>
      </w:tr>
      <w:tr w:rsidR="00946357" w:rsidTr="00946357">
        <w:tc>
          <w:tcPr>
            <w:tcW w:w="4219" w:type="dxa"/>
            <w:vMerge/>
          </w:tcPr>
          <w:p w:rsidR="00946357" w:rsidRDefault="00946357" w:rsidP="00A31791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946357" w:rsidRDefault="00D63067" w:rsidP="0060318E">
            <w:pPr>
              <w:rPr>
                <w:sz w:val="24"/>
                <w:szCs w:val="24"/>
              </w:rPr>
            </w:pPr>
            <w:hyperlink r:id="rId8" w:history="1">
              <w:r w:rsidR="00946357" w:rsidRPr="005E48EE">
                <w:rPr>
                  <w:rStyle w:val="Hyperlink"/>
                  <w:sz w:val="24"/>
                  <w:szCs w:val="24"/>
                </w:rPr>
                <w:t>Act 162 Malaysian Red Cross Society (Change of Name) Act 1975</w:t>
              </w:r>
            </w:hyperlink>
          </w:p>
        </w:tc>
      </w:tr>
    </w:tbl>
    <w:p w:rsidR="008828B9" w:rsidRPr="008828B9" w:rsidRDefault="008828B9">
      <w:pPr>
        <w:rPr>
          <w:sz w:val="28"/>
          <w:szCs w:val="28"/>
        </w:rPr>
      </w:pPr>
    </w:p>
    <w:sectPr w:rsidR="008828B9" w:rsidRPr="008828B9" w:rsidSect="001A1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DCA"/>
    <w:multiLevelType w:val="hybridMultilevel"/>
    <w:tmpl w:val="76669A9C"/>
    <w:lvl w:ilvl="0" w:tplc="B466456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30E2D5D"/>
    <w:multiLevelType w:val="hybridMultilevel"/>
    <w:tmpl w:val="A8C8ADF2"/>
    <w:lvl w:ilvl="0" w:tplc="8F02CC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C5FD0"/>
    <w:multiLevelType w:val="hybridMultilevel"/>
    <w:tmpl w:val="8D383EE4"/>
    <w:lvl w:ilvl="0" w:tplc="C8DE88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86126"/>
    <w:multiLevelType w:val="hybridMultilevel"/>
    <w:tmpl w:val="3B7679CE"/>
    <w:lvl w:ilvl="0" w:tplc="EFB23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13B8D"/>
    <w:multiLevelType w:val="hybridMultilevel"/>
    <w:tmpl w:val="A93AA558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C1E1A"/>
    <w:multiLevelType w:val="hybridMultilevel"/>
    <w:tmpl w:val="18E2D40E"/>
    <w:lvl w:ilvl="0" w:tplc="19121B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A04CA"/>
    <w:multiLevelType w:val="hybridMultilevel"/>
    <w:tmpl w:val="159C87B0"/>
    <w:lvl w:ilvl="0" w:tplc="A58A41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415FD"/>
    <w:multiLevelType w:val="hybridMultilevel"/>
    <w:tmpl w:val="4C90B84A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17CDD"/>
    <w:multiLevelType w:val="hybridMultilevel"/>
    <w:tmpl w:val="7690025C"/>
    <w:lvl w:ilvl="0" w:tplc="3E4E9B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B5060"/>
    <w:multiLevelType w:val="hybridMultilevel"/>
    <w:tmpl w:val="C0447450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93D7C"/>
    <w:multiLevelType w:val="hybridMultilevel"/>
    <w:tmpl w:val="1CBCA93A"/>
    <w:lvl w:ilvl="0" w:tplc="C02E3630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B037C"/>
    <w:multiLevelType w:val="hybridMultilevel"/>
    <w:tmpl w:val="089A3FDA"/>
    <w:lvl w:ilvl="0" w:tplc="FBAA41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16EA4"/>
    <w:multiLevelType w:val="hybridMultilevel"/>
    <w:tmpl w:val="86AACD98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B9"/>
    <w:rsid w:val="0001629D"/>
    <w:rsid w:val="001649A6"/>
    <w:rsid w:val="001A161E"/>
    <w:rsid w:val="001B7438"/>
    <w:rsid w:val="00381021"/>
    <w:rsid w:val="003A4BC9"/>
    <w:rsid w:val="003E5EAD"/>
    <w:rsid w:val="00417EEF"/>
    <w:rsid w:val="004758EE"/>
    <w:rsid w:val="005671D3"/>
    <w:rsid w:val="005A6EA7"/>
    <w:rsid w:val="005E48EE"/>
    <w:rsid w:val="0060318E"/>
    <w:rsid w:val="00790FC2"/>
    <w:rsid w:val="007A5F3D"/>
    <w:rsid w:val="007B349F"/>
    <w:rsid w:val="008828B9"/>
    <w:rsid w:val="00946357"/>
    <w:rsid w:val="009B4379"/>
    <w:rsid w:val="009D02C2"/>
    <w:rsid w:val="00A31791"/>
    <w:rsid w:val="00A83986"/>
    <w:rsid w:val="00B06BB7"/>
    <w:rsid w:val="00B42E6E"/>
    <w:rsid w:val="00C138ED"/>
    <w:rsid w:val="00CF50D3"/>
    <w:rsid w:val="00D63067"/>
    <w:rsid w:val="00DE164D"/>
    <w:rsid w:val="00F7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8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8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c.gov.my/Akta/Vol.%204/Act%20162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gc.gov.my/Akta/Vol.%2011/Act%2054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BAF82-9663-47ED-9932-B4169D50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EMERY</dc:creator>
  <cp:lastModifiedBy>Padmini NAYAGAM</cp:lastModifiedBy>
  <cp:revision>3</cp:revision>
  <dcterms:created xsi:type="dcterms:W3CDTF">2015-05-29T04:10:00Z</dcterms:created>
  <dcterms:modified xsi:type="dcterms:W3CDTF">2015-06-01T10:20:00Z</dcterms:modified>
</cp:coreProperties>
</file>